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C0" w:rsidRPr="004F1F2D" w:rsidRDefault="004705C0" w:rsidP="004705C0">
      <w:pPr>
        <w:shd w:val="clear" w:color="auto" w:fill="FFFFFF"/>
        <w:ind w:left="38"/>
        <w:jc w:val="center"/>
        <w:rPr>
          <w:b/>
          <w:bCs/>
          <w:spacing w:val="-1"/>
          <w:sz w:val="28"/>
          <w:szCs w:val="28"/>
        </w:rPr>
      </w:pPr>
      <w:r w:rsidRPr="004F1F2D">
        <w:rPr>
          <w:b/>
          <w:bCs/>
          <w:spacing w:val="-1"/>
          <w:sz w:val="28"/>
          <w:szCs w:val="28"/>
        </w:rPr>
        <w:t xml:space="preserve">INFORMATĪVAIS </w:t>
      </w:r>
      <w:smartTag w:uri="schemas-tilde-lv/tildestengine" w:element="veidnes">
        <w:smartTagPr>
          <w:attr w:name="text" w:val="ziņojums"/>
          <w:attr w:name="baseform" w:val="ziņojums"/>
          <w:attr w:name="id" w:val="-1"/>
        </w:smartTagPr>
        <w:r w:rsidRPr="004F1F2D">
          <w:rPr>
            <w:b/>
            <w:bCs/>
            <w:spacing w:val="-1"/>
            <w:sz w:val="28"/>
            <w:szCs w:val="28"/>
          </w:rPr>
          <w:t>ZIŅOJUMS</w:t>
        </w:r>
      </w:smartTag>
    </w:p>
    <w:p w:rsidR="004705C0" w:rsidRPr="004F1F2D" w:rsidRDefault="002C11D7" w:rsidP="00460CCF">
      <w:pPr>
        <w:shd w:val="clear" w:color="auto" w:fill="FFFFFF"/>
        <w:spacing w:before="120" w:after="120"/>
        <w:ind w:left="901" w:hanging="527"/>
        <w:jc w:val="center"/>
        <w:rPr>
          <w:sz w:val="28"/>
          <w:szCs w:val="28"/>
        </w:rPr>
      </w:pPr>
      <w:bookmarkStart w:id="0" w:name="OLE_LINK5"/>
      <w:bookmarkStart w:id="1" w:name="OLE_LINK6"/>
      <w:r w:rsidRPr="003B5254">
        <w:rPr>
          <w:b/>
          <w:sz w:val="28"/>
          <w:szCs w:val="28"/>
        </w:rPr>
        <w:t xml:space="preserve">Par </w:t>
      </w:r>
      <w:bookmarkEnd w:id="0"/>
      <w:bookmarkEnd w:id="1"/>
      <w:r w:rsidR="00FD492B">
        <w:rPr>
          <w:b/>
          <w:sz w:val="28"/>
          <w:szCs w:val="28"/>
        </w:rPr>
        <w:t>likumprojektu „Parāda atgūšanas likums”</w:t>
      </w:r>
    </w:p>
    <w:p w:rsidR="004705C0" w:rsidRPr="004F1F2D" w:rsidRDefault="004705C0" w:rsidP="004705C0">
      <w:pPr>
        <w:shd w:val="clear" w:color="auto" w:fill="FFFFFF"/>
        <w:ind w:left="29" w:firstLine="720"/>
        <w:jc w:val="both"/>
        <w:rPr>
          <w:spacing w:val="-1"/>
          <w:sz w:val="28"/>
          <w:szCs w:val="28"/>
        </w:rPr>
      </w:pPr>
    </w:p>
    <w:p w:rsidR="00B3013A" w:rsidRPr="00FD492B" w:rsidRDefault="00FD492B" w:rsidP="00034343">
      <w:pPr>
        <w:pStyle w:val="Heading1"/>
        <w:spacing w:before="240"/>
        <w:jc w:val="both"/>
        <w:rPr>
          <w:i/>
          <w:sz w:val="28"/>
          <w:szCs w:val="28"/>
        </w:rPr>
      </w:pPr>
      <w:r w:rsidRPr="00FD492B">
        <w:rPr>
          <w:i/>
          <w:sz w:val="28"/>
          <w:szCs w:val="28"/>
        </w:rPr>
        <w:t>Parādnieka un kreditora interešu sabalansētība</w:t>
      </w:r>
    </w:p>
    <w:p w:rsidR="00F40E09" w:rsidRPr="001B57EB" w:rsidRDefault="00FD492B" w:rsidP="00034343">
      <w:pPr>
        <w:shd w:val="clear" w:color="auto" w:fill="FFFFFF"/>
        <w:spacing w:before="80"/>
        <w:ind w:firstLine="720"/>
        <w:jc w:val="both"/>
        <w:rPr>
          <w:sz w:val="27"/>
          <w:szCs w:val="27"/>
        </w:rPr>
      </w:pPr>
      <w:r w:rsidRPr="001B57EB">
        <w:rPr>
          <w:sz w:val="27"/>
          <w:szCs w:val="27"/>
        </w:rPr>
        <w:t>Likumprojektā ietvertais tiesiskais regulējums ir attiecināts uz kreditoru tikai attiecībā uz parāda atgūšanā īstenojamo komunikāciju ar parādnieku, nosakot, kāda informācija ir norādāma paziņojumā parādniekam, aicinot to labprātīgi veikt kavētās maksājuma saistības izpildi (7.pants), kārtību, kādā izskatāms parādnieka iebildums par parāda esību, tā apmēru un samaksas termiņu (8.pants), komunikācijā ar trešajām personām izpaužamo informāciju (9.pants) un komunikācijā ar parādnieku piemērojamās komunikācijas normas un līdzekļus (10., 11.pants). Ekonomikas ministrijas ieskatā iepriekš minēto tiesību normu attiecināšana uz visiem subjektiem, kas veic parāda atgūšanu (kā parāda atgūšanas pakalpojuma sniedzējiem, tā arī kreditoriem), ir uzskatāma par samērīgu un objektīvu priekšnoteikumu, lai nodrošinātu parādnieka (fiziskās personas) likumīgās tiesības uz taisnīgu, samērīgu un saprātīgu parāda atgūšanas procesu. Turklāt jānorāda, ka sabalansētai kreditora un parādnieka interešu nodrošināšanai likumprojektā ir iekļautas arī tiesību normas, kas nosaka parādniekam sadarbošanās pienākumu ar kreditoru un parāda atgūšanas pakalpojuma sniedzēju parāda atgūšanas procesā.</w:t>
      </w:r>
    </w:p>
    <w:p w:rsidR="00FD492B" w:rsidRPr="001B57EB" w:rsidRDefault="00FD492B" w:rsidP="00034343">
      <w:pPr>
        <w:shd w:val="clear" w:color="auto" w:fill="FFFFFF"/>
        <w:spacing w:before="80"/>
        <w:ind w:firstLine="720"/>
        <w:jc w:val="both"/>
        <w:rPr>
          <w:sz w:val="27"/>
          <w:szCs w:val="27"/>
        </w:rPr>
      </w:pPr>
      <w:r w:rsidRPr="001B57EB">
        <w:rPr>
          <w:sz w:val="27"/>
          <w:szCs w:val="27"/>
        </w:rPr>
        <w:t xml:space="preserve">Attiecībā uz likumprojekta 12.panta pirmajā daļā noteikto aizliegumu </w:t>
      </w:r>
      <w:proofErr w:type="spellStart"/>
      <w:r w:rsidRPr="001B57EB">
        <w:rPr>
          <w:sz w:val="27"/>
          <w:szCs w:val="27"/>
        </w:rPr>
        <w:t>kredītvēstures</w:t>
      </w:r>
      <w:proofErr w:type="spellEnd"/>
      <w:r w:rsidRPr="001B57EB">
        <w:rPr>
          <w:sz w:val="27"/>
          <w:szCs w:val="27"/>
        </w:rPr>
        <w:t xml:space="preserve"> datubāzē iekļaut informāciju par parādnieku, ja parādnieks ir izteicis iebildumus par parāda esību vai tā apmēru, norādām, ka šādas prasības iekļaušana likumprojektā tika atbalstīta 2011.gada 21.maija Ministru kabineta komitejas sēdē (prot. Nr.12 3.§ 2.4.apakšpunkts), uzdodot Ekonomikas ministrijai precizēt likumprojekta 12.panta pirmo daļu atbilstoši Tieslietu ministrijas priekšlikumiem.</w:t>
      </w:r>
    </w:p>
    <w:p w:rsidR="00FD492B" w:rsidRPr="001B57EB" w:rsidRDefault="00FD492B" w:rsidP="00034343">
      <w:pPr>
        <w:shd w:val="clear" w:color="auto" w:fill="FFFFFF"/>
        <w:spacing w:before="80"/>
        <w:ind w:firstLine="720"/>
        <w:jc w:val="both"/>
        <w:rPr>
          <w:rFonts w:eastAsia="Calibri"/>
          <w:sz w:val="27"/>
          <w:szCs w:val="27"/>
        </w:rPr>
      </w:pPr>
      <w:r w:rsidRPr="001B57EB">
        <w:rPr>
          <w:rFonts w:eastAsia="Calibri"/>
          <w:sz w:val="27"/>
          <w:szCs w:val="27"/>
        </w:rPr>
        <w:t>Tieslietu ministrija, kas ir uzskatāma par atbildīgo ministriju valsts politikas izstrādē un īstenošanas koordinēšanā personas datu aizsardzības jautājumos, norāda, ka saskaņā ar Fizisko personu datu aizsardzības likuma 10.panta pirmās daļas 4.punktā noteikto pārzinim ir jānodrošina personas datu pareizība un to savlaicīga atjaunošana, labošana vai dzēšana, ja personas dati ir nepilnīgi vai neprecīzi saskaņā ar personas datu apstrādes mērķi. Tādējādi, ja parādnieks ir izteicis iebildumus par parāda esamību vai saistību pastāvēšanu, faktiski ārpustiesas parāda atgūšanas process nevar notikt un strīds ir skatāms tiesā, kā rezultātā līdz tiesas spriedumam nevar uzskatīt, ka kreditora informācija par parāda esamību vai saistību pastāvēšanu ir patiesa. Turklāt iepriekš minētais tiek pamatots arī ar Eiropas Parlamenta un Padomes 1995.gada 24.oktobra Direktīvas 95/46/EK par personu aizsardzību attiecībā uz personas datu apstrādi un šādu datu brīvu apriti prasībām.</w:t>
      </w:r>
    </w:p>
    <w:p w:rsidR="00FD492B" w:rsidRPr="001B57EB" w:rsidRDefault="00460CCF" w:rsidP="00034343">
      <w:pPr>
        <w:shd w:val="clear" w:color="auto" w:fill="FFFFFF"/>
        <w:spacing w:before="80"/>
        <w:ind w:firstLine="720"/>
        <w:jc w:val="both"/>
        <w:rPr>
          <w:rFonts w:eastAsia="Calibri"/>
          <w:sz w:val="27"/>
          <w:szCs w:val="27"/>
        </w:rPr>
      </w:pPr>
      <w:r w:rsidRPr="001B57EB">
        <w:rPr>
          <w:rFonts w:eastAsia="Calibri"/>
          <w:sz w:val="27"/>
          <w:szCs w:val="27"/>
        </w:rPr>
        <w:t xml:space="preserve">Vienlaikus Ekonomikas ministrijas, Latvijas Ārpustiesas parādu piedzinēju asociācijas un Latvijas Komercbankas asociācijas ieskatā šāda nosacījuma noteikšana var kavēt likuma mērķa – </w:t>
      </w:r>
      <w:r w:rsidRPr="001B57EB">
        <w:rPr>
          <w:rFonts w:eastAsia="Calibri"/>
          <w:i/>
          <w:sz w:val="27"/>
          <w:szCs w:val="27"/>
        </w:rPr>
        <w:t>sekmēt iespēju trešajām personām novērtēt maksājuma saistību izpildi, ko uzņēmusies fiziska persona</w:t>
      </w:r>
      <w:r w:rsidRPr="001B57EB">
        <w:rPr>
          <w:rFonts w:eastAsia="Calibri"/>
          <w:sz w:val="27"/>
          <w:szCs w:val="27"/>
        </w:rPr>
        <w:t xml:space="preserve"> – sasniegšanu, jo </w:t>
      </w:r>
      <w:r w:rsidRPr="001B57EB">
        <w:rPr>
          <w:rFonts w:eastAsia="Calibri"/>
          <w:sz w:val="27"/>
          <w:szCs w:val="27"/>
        </w:rPr>
        <w:lastRenderedPageBreak/>
        <w:t xml:space="preserve">parādnieks nav ieinteresēts, lai dati par viņu parādītos parādnieku </w:t>
      </w:r>
      <w:proofErr w:type="spellStart"/>
      <w:r w:rsidRPr="001B57EB">
        <w:rPr>
          <w:rFonts w:eastAsia="Calibri"/>
          <w:sz w:val="27"/>
          <w:szCs w:val="27"/>
        </w:rPr>
        <w:t>kredītvēstures</w:t>
      </w:r>
      <w:proofErr w:type="spellEnd"/>
      <w:r w:rsidRPr="001B57EB">
        <w:rPr>
          <w:rFonts w:eastAsia="Calibri"/>
          <w:sz w:val="27"/>
          <w:szCs w:val="27"/>
        </w:rPr>
        <w:t xml:space="preserve"> datubāzē, jo ir pamats uzskatīt, ka parādnieks izteiks arī nepamatotus un formālus iebildumus, lai tikai netiktu iekļauts parādnieku </w:t>
      </w:r>
      <w:proofErr w:type="spellStart"/>
      <w:r w:rsidRPr="001B57EB">
        <w:rPr>
          <w:rFonts w:eastAsia="Calibri"/>
          <w:sz w:val="27"/>
          <w:szCs w:val="27"/>
        </w:rPr>
        <w:t>kredītvēstures</w:t>
      </w:r>
      <w:proofErr w:type="spellEnd"/>
      <w:r w:rsidRPr="001B57EB">
        <w:rPr>
          <w:rFonts w:eastAsia="Calibri"/>
          <w:sz w:val="27"/>
          <w:szCs w:val="27"/>
        </w:rPr>
        <w:t xml:space="preserve"> datubāzē, kas savukārt ir pretēji kreditoru interesēm saņemt visaptverošu un patiesu informāciju par parādnieka faktisko maksātspēju. Tāpēc likumprojekta 12.panta pirmajā daļā ir iekļauta papildus prasība, ka parādniekam nepieciešams sniegt pamatojumu saviem iebildumiem, un šāda redakcija tika piedāvāta kā kompromisa variants starp pusēm.</w:t>
      </w:r>
    </w:p>
    <w:p w:rsidR="00FD492B" w:rsidRPr="00460CCF" w:rsidRDefault="00460CCF" w:rsidP="00034343">
      <w:pPr>
        <w:autoSpaceDE/>
        <w:autoSpaceDN/>
        <w:adjustRightInd/>
        <w:spacing w:before="360"/>
        <w:jc w:val="both"/>
        <w:rPr>
          <w:b/>
          <w:bCs/>
          <w:i/>
          <w:sz w:val="28"/>
          <w:szCs w:val="28"/>
          <w:lang w:eastAsia="en-US"/>
        </w:rPr>
      </w:pPr>
      <w:r>
        <w:rPr>
          <w:b/>
          <w:bCs/>
          <w:i/>
          <w:sz w:val="28"/>
          <w:szCs w:val="28"/>
          <w:lang w:eastAsia="en-US"/>
        </w:rPr>
        <w:t>R</w:t>
      </w:r>
      <w:r w:rsidRPr="00460CCF">
        <w:rPr>
          <w:b/>
          <w:bCs/>
          <w:i/>
          <w:sz w:val="28"/>
          <w:szCs w:val="28"/>
          <w:lang w:eastAsia="en-US"/>
        </w:rPr>
        <w:t>egulējum</w:t>
      </w:r>
      <w:r>
        <w:rPr>
          <w:b/>
          <w:bCs/>
          <w:i/>
          <w:sz w:val="28"/>
          <w:szCs w:val="28"/>
          <w:lang w:eastAsia="en-US"/>
        </w:rPr>
        <w:t>a</w:t>
      </w:r>
      <w:r w:rsidRPr="00460CCF">
        <w:rPr>
          <w:b/>
          <w:bCs/>
          <w:i/>
          <w:sz w:val="28"/>
          <w:szCs w:val="28"/>
          <w:lang w:eastAsia="en-US"/>
        </w:rPr>
        <w:t xml:space="preserve"> </w:t>
      </w:r>
      <w:r w:rsidR="00034343">
        <w:rPr>
          <w:b/>
          <w:bCs/>
          <w:i/>
          <w:sz w:val="28"/>
          <w:szCs w:val="28"/>
          <w:lang w:eastAsia="en-US"/>
        </w:rPr>
        <w:t>ietekme uz tiesu darbību</w:t>
      </w:r>
    </w:p>
    <w:p w:rsidR="00034343" w:rsidRPr="001B57EB" w:rsidRDefault="00034343" w:rsidP="00034343">
      <w:pPr>
        <w:autoSpaceDE/>
        <w:autoSpaceDN/>
        <w:adjustRightInd/>
        <w:spacing w:before="80"/>
        <w:ind w:firstLine="720"/>
        <w:jc w:val="both"/>
        <w:rPr>
          <w:rFonts w:eastAsia="Calibri"/>
          <w:sz w:val="27"/>
          <w:szCs w:val="27"/>
        </w:rPr>
      </w:pPr>
      <w:r w:rsidRPr="001B57EB">
        <w:rPr>
          <w:rFonts w:eastAsia="Calibri"/>
          <w:sz w:val="27"/>
          <w:szCs w:val="27"/>
        </w:rPr>
        <w:t xml:space="preserve">Latvijas Republikas tiesību sistēmā nav noteikts speciāls tiesiskais regulējums, kurā būtu reglamentēta kārtība, kādā veicama parāda ārpustiesas atgūšana, tādēļ šobrīd ir piemērojamas vispārējās Civillikumā ietvertās tiesību normas. Bieži vien iepriekš minētie maksājuma saistību (ne)izpildes problēmjautājumi tiek risināti tiesas ceļā, jo nav paredzēts alternatīvs parāda atgūšanas mehānisms (tiesiskais regulējums) parāda atgūšanai pirmstiesas stadijā. </w:t>
      </w:r>
    </w:p>
    <w:p w:rsidR="00034343" w:rsidRPr="001B57EB" w:rsidRDefault="00034343" w:rsidP="00034343">
      <w:pPr>
        <w:spacing w:before="80"/>
        <w:ind w:firstLine="720"/>
        <w:jc w:val="both"/>
        <w:rPr>
          <w:rFonts w:eastAsia="Calibri"/>
          <w:sz w:val="27"/>
          <w:szCs w:val="27"/>
        </w:rPr>
      </w:pPr>
      <w:r w:rsidRPr="001B57EB">
        <w:rPr>
          <w:rFonts w:eastAsia="Calibri"/>
          <w:sz w:val="27"/>
          <w:szCs w:val="27"/>
        </w:rPr>
        <w:t>Parāda atgūšanas likumprojekta izstrādes mērķis ir aizpildīt iepriekš minētā regulējuma iztrūkumu LR tiesību sistēmā, paredzot, ka likumprojekts izstrādāts, lai:</w:t>
      </w:r>
    </w:p>
    <w:p w:rsidR="00034343" w:rsidRPr="001B57EB" w:rsidRDefault="00034343" w:rsidP="00034343">
      <w:pPr>
        <w:pStyle w:val="naisf"/>
        <w:numPr>
          <w:ilvl w:val="0"/>
          <w:numId w:val="17"/>
        </w:numPr>
        <w:spacing w:before="0" w:after="0"/>
        <w:rPr>
          <w:rFonts w:eastAsia="Calibri"/>
          <w:sz w:val="27"/>
          <w:szCs w:val="27"/>
        </w:rPr>
      </w:pPr>
      <w:r w:rsidRPr="001B57EB">
        <w:rPr>
          <w:rFonts w:eastAsia="Calibri"/>
          <w:sz w:val="27"/>
          <w:szCs w:val="27"/>
        </w:rPr>
        <w:t>reglamentētu kreditora un parāda atgūšanas pakalpojuma sniedzēja tiesības un pienākumus ārpustiesas parāda atgūšanā;</w:t>
      </w:r>
    </w:p>
    <w:p w:rsidR="00034343" w:rsidRPr="001B57EB" w:rsidRDefault="00034343" w:rsidP="00034343">
      <w:pPr>
        <w:pStyle w:val="naisf"/>
        <w:numPr>
          <w:ilvl w:val="0"/>
          <w:numId w:val="17"/>
        </w:numPr>
        <w:spacing w:before="0" w:after="0"/>
        <w:rPr>
          <w:rFonts w:eastAsia="Calibri"/>
          <w:sz w:val="27"/>
          <w:szCs w:val="27"/>
        </w:rPr>
      </w:pPr>
      <w:r w:rsidRPr="001B57EB">
        <w:rPr>
          <w:rFonts w:eastAsia="Calibri"/>
          <w:sz w:val="27"/>
          <w:szCs w:val="27"/>
        </w:rPr>
        <w:t>nodrošinātu taisnīgu, samērīgu un saprātīgu ārpustiesas parāda atgūšanu,</w:t>
      </w:r>
    </w:p>
    <w:p w:rsidR="00034343" w:rsidRPr="001B57EB" w:rsidRDefault="00034343" w:rsidP="00034343">
      <w:pPr>
        <w:pStyle w:val="naisf"/>
        <w:numPr>
          <w:ilvl w:val="0"/>
          <w:numId w:val="17"/>
        </w:numPr>
        <w:spacing w:before="0" w:after="0"/>
        <w:rPr>
          <w:rFonts w:eastAsia="Calibri"/>
          <w:sz w:val="27"/>
          <w:szCs w:val="27"/>
        </w:rPr>
      </w:pPr>
      <w:r w:rsidRPr="001B57EB">
        <w:rPr>
          <w:rFonts w:eastAsia="Calibri"/>
          <w:sz w:val="27"/>
          <w:szCs w:val="27"/>
        </w:rPr>
        <w:t>veicinātu parādu labprātīgu atmaksu.</w:t>
      </w:r>
    </w:p>
    <w:p w:rsidR="00FD492B" w:rsidRPr="001B57EB" w:rsidRDefault="00034343" w:rsidP="00034343">
      <w:pPr>
        <w:spacing w:before="120"/>
        <w:ind w:firstLine="720"/>
        <w:jc w:val="both"/>
        <w:rPr>
          <w:rFonts w:eastAsia="Calibri"/>
          <w:sz w:val="26"/>
          <w:szCs w:val="26"/>
        </w:rPr>
      </w:pPr>
      <w:r w:rsidRPr="001B57EB">
        <w:rPr>
          <w:rFonts w:eastAsia="Calibri"/>
          <w:sz w:val="27"/>
          <w:szCs w:val="27"/>
        </w:rPr>
        <w:t>Ņemot vērā iepriekš minēto, ir pamats uzskatīt, ka kvalitatīva ārpustiesas parāda atgūšanas tiesiskā regulējuma izstrādes rezultātā tiks sekmēta parāda labprātīga atmaksa pirmstiesas stadijā un papildus noslodze tiesām netiks radīta, kā arī tiesā izskatāmo lietu skaits par maksājuma saistību neizpildi samazināsies.</w:t>
      </w:r>
    </w:p>
    <w:p w:rsidR="004705C0" w:rsidRPr="00034343" w:rsidRDefault="00034343" w:rsidP="00034343">
      <w:pPr>
        <w:shd w:val="clear" w:color="auto" w:fill="FFFFFF"/>
        <w:spacing w:before="360"/>
        <w:ind w:left="28"/>
        <w:jc w:val="both"/>
        <w:rPr>
          <w:b/>
          <w:bCs/>
          <w:i/>
          <w:sz w:val="28"/>
          <w:szCs w:val="28"/>
          <w:lang w:eastAsia="en-US"/>
        </w:rPr>
      </w:pPr>
      <w:r>
        <w:rPr>
          <w:b/>
          <w:bCs/>
          <w:i/>
          <w:sz w:val="28"/>
          <w:szCs w:val="28"/>
          <w:lang w:eastAsia="en-US"/>
        </w:rPr>
        <w:t>C</w:t>
      </w:r>
      <w:r w:rsidRPr="00034343">
        <w:rPr>
          <w:b/>
          <w:bCs/>
          <w:i/>
          <w:sz w:val="28"/>
          <w:szCs w:val="28"/>
          <w:lang w:eastAsia="en-US"/>
        </w:rPr>
        <w:t>itu valstu pieredz</w:t>
      </w:r>
      <w:r>
        <w:rPr>
          <w:b/>
          <w:bCs/>
          <w:i/>
          <w:sz w:val="28"/>
          <w:szCs w:val="28"/>
          <w:lang w:eastAsia="en-US"/>
        </w:rPr>
        <w:t xml:space="preserve">e </w:t>
      </w:r>
      <w:r w:rsidRPr="00034343">
        <w:rPr>
          <w:b/>
          <w:bCs/>
          <w:i/>
          <w:sz w:val="28"/>
          <w:szCs w:val="28"/>
          <w:lang w:eastAsia="en-US"/>
        </w:rPr>
        <w:t xml:space="preserve">parāda atgūšanas </w:t>
      </w:r>
      <w:r>
        <w:rPr>
          <w:b/>
          <w:bCs/>
          <w:i/>
          <w:sz w:val="28"/>
          <w:szCs w:val="28"/>
          <w:lang w:eastAsia="en-US"/>
        </w:rPr>
        <w:t>tiesiskā regulējuma izstrādē</w:t>
      </w:r>
    </w:p>
    <w:p w:rsidR="00034343" w:rsidRPr="001B57EB" w:rsidRDefault="00034343" w:rsidP="00034343">
      <w:pPr>
        <w:autoSpaceDE/>
        <w:autoSpaceDN/>
        <w:adjustRightInd/>
        <w:spacing w:before="120"/>
        <w:ind w:firstLine="720"/>
        <w:jc w:val="both"/>
        <w:rPr>
          <w:sz w:val="27"/>
          <w:szCs w:val="27"/>
        </w:rPr>
      </w:pPr>
      <w:r w:rsidRPr="001B57EB">
        <w:rPr>
          <w:sz w:val="27"/>
          <w:szCs w:val="27"/>
        </w:rPr>
        <w:t>Pirms ārpustiesas parāda atgūšanas tiesiskā regulējuma izstrādes uzsākšanas Latvijā ir analizēta arī vairāku citu valstu (piemēram, Somijas, Norvēģijas, Austrijas, Lielbritānijas, ASV u.c.) pieredze un labā prakse parāda atgūšanas tiesiskā regulējuma izveidē, kā arī izvērtēts Eiropas nacionālo piedziņas apvienību federācijas (FENCA) darbības kodekss. Kopumā tika secināts, ka ārpustiesas parāda atgūšanas tiesiskajā regulējumā galvenokārt tiek risināti tādi jautājumi kā parāda atgūšanas pakalpojumu sniedzēju darbības vispārējie principi, parāda atgūšanā īstenojamās „labas uzvedības” normas, tai skaitā komunikācijas kultūra un metodes, un parāda atgūšanas izdevumu apjoma noteikšana.</w:t>
      </w:r>
    </w:p>
    <w:p w:rsidR="00034343" w:rsidRPr="001B57EB" w:rsidRDefault="00034343" w:rsidP="00034343">
      <w:pPr>
        <w:spacing w:before="80"/>
        <w:ind w:firstLine="720"/>
        <w:jc w:val="both"/>
        <w:rPr>
          <w:sz w:val="27"/>
          <w:szCs w:val="27"/>
        </w:rPr>
      </w:pPr>
      <w:r w:rsidRPr="001B57EB">
        <w:rPr>
          <w:sz w:val="27"/>
          <w:szCs w:val="27"/>
        </w:rPr>
        <w:t>Likumprojekta izstrādes procesā tiešā veidā nav pārņemts kādas citas valsts tiesiskā regulējuma modelis, tomēr ņemti ir vērā labās prakses piemēri un attiecīgi pielāgoti Latvijas situācijai un interesēm, proti, izvirzītajiem sasniedzamajiem mērķiem, izstrādājot tiesisko regulējumu ārpustiesas parāda atgūšanas jomā.</w:t>
      </w:r>
    </w:p>
    <w:p w:rsidR="00034343" w:rsidRPr="001B57EB" w:rsidRDefault="00034343" w:rsidP="00034343">
      <w:pPr>
        <w:spacing w:before="240"/>
        <w:jc w:val="both"/>
        <w:rPr>
          <w:i/>
          <w:sz w:val="27"/>
          <w:szCs w:val="27"/>
          <w:u w:val="single"/>
        </w:rPr>
      </w:pPr>
      <w:r w:rsidRPr="001B57EB">
        <w:rPr>
          <w:i/>
          <w:sz w:val="27"/>
          <w:szCs w:val="27"/>
          <w:u w:val="single"/>
        </w:rPr>
        <w:t>Regulējuma mērķauditorija</w:t>
      </w:r>
    </w:p>
    <w:p w:rsidR="00034343" w:rsidRPr="001B57EB" w:rsidRDefault="00034343" w:rsidP="00034343">
      <w:pPr>
        <w:ind w:firstLine="720"/>
        <w:jc w:val="both"/>
        <w:rPr>
          <w:sz w:val="27"/>
          <w:szCs w:val="27"/>
        </w:rPr>
      </w:pPr>
      <w:r w:rsidRPr="001B57EB">
        <w:rPr>
          <w:sz w:val="27"/>
          <w:szCs w:val="27"/>
        </w:rPr>
        <w:t xml:space="preserve">Latvijas likumprojektā iekļautais tiesiskais regulējums paredz aizsargāt tikai </w:t>
      </w:r>
      <w:r w:rsidRPr="001B57EB">
        <w:rPr>
          <w:sz w:val="27"/>
          <w:szCs w:val="27"/>
        </w:rPr>
        <w:lastRenderedPageBreak/>
        <w:t xml:space="preserve">parādniekus – fiziskās personas (patērētājus) – un tajā iekļautās prasības attiecībā uz parāda atgūšanā īstenojamo komunikāciju ir vienlīdz attiecinātas uz kreditoriem un parāda atgūšanas pakalpojuma sniedzējiem. ASV tiesiskais regulējums arī ir piemērojams vienīgi patērētāju aizsardzībai, bet prasības ir attiecinātas tikai uz parāda atgūšanas pakalpojuma sniedzējiem. Savukārt Somijas tiesiskais regulējums aizsargā visus parādniekus, īpašu uzmanību pievēršot parāda piedziņas kompāniju darbībai un patērētāju aizsardzībai (patēriņa parādniekiem), un tajā iekļautās prasības tiek attiecinātas gan uz kreditoriem, gan parāda atgūšanas pakalpojumu sniedzējiem. </w:t>
      </w:r>
    </w:p>
    <w:p w:rsidR="00034343" w:rsidRPr="001B57EB" w:rsidRDefault="00034343" w:rsidP="00034343">
      <w:pPr>
        <w:spacing w:before="240"/>
        <w:jc w:val="both"/>
        <w:rPr>
          <w:i/>
          <w:sz w:val="27"/>
          <w:szCs w:val="27"/>
          <w:u w:val="single"/>
        </w:rPr>
      </w:pPr>
      <w:r w:rsidRPr="001B57EB">
        <w:rPr>
          <w:i/>
          <w:sz w:val="27"/>
          <w:szCs w:val="27"/>
          <w:u w:val="single"/>
        </w:rPr>
        <w:t xml:space="preserve">Regulējuma detalizācijas pakāpe </w:t>
      </w:r>
    </w:p>
    <w:p w:rsidR="00034343" w:rsidRPr="001B57EB" w:rsidRDefault="00034343" w:rsidP="00034343">
      <w:pPr>
        <w:ind w:firstLine="720"/>
        <w:jc w:val="both"/>
        <w:rPr>
          <w:sz w:val="27"/>
          <w:szCs w:val="27"/>
        </w:rPr>
      </w:pPr>
      <w:r w:rsidRPr="001B57EB">
        <w:rPr>
          <w:sz w:val="27"/>
          <w:szCs w:val="27"/>
        </w:rPr>
        <w:t xml:space="preserve">Veicot citu valstu labās prakses analīzi, jāsecina, ka parāda atgūšanas regulējuma detalizācijas pakāpe dažādās valstīs ir atšķirīga. Piemēram, Norvēģijas tiesiskajā regulējumā, kur prasības tiek attiecinātas tikai uz parāda atgūšanas pakalpojumu sniedzējiem, tiek reglamentētas parāda atgūšanas pakalpojuma sniedzēja un parādnieka, kā arī parāda atgūšanas pakalpojuma sniedzēja un kreditora attiecības, proti, noteikta kartība, kādā īstenojams parāda atgūšanas process (komunikācija) starp parāda atgūšanas pakalpojuma sniedzēju un parādnieku, kā arī kārtība, kādā īstenojama sadarbība starp parāda atgūšanas pakalpojuma sniedzēju un kreditoru. Savukārt Somijas un ASV parāda atgūšanas tiesiskajā regulējumā šāda reglamentācija netiek veikta. </w:t>
      </w:r>
    </w:p>
    <w:p w:rsidR="00034343" w:rsidRPr="001B57EB" w:rsidRDefault="00034343" w:rsidP="00034343">
      <w:pPr>
        <w:spacing w:before="80"/>
        <w:ind w:firstLine="720"/>
        <w:jc w:val="both"/>
        <w:rPr>
          <w:sz w:val="27"/>
          <w:szCs w:val="27"/>
        </w:rPr>
      </w:pPr>
      <w:r w:rsidRPr="001B57EB">
        <w:rPr>
          <w:sz w:val="27"/>
          <w:szCs w:val="27"/>
        </w:rPr>
        <w:t xml:space="preserve">Tomēr Somijas parāda atgūšanas tiesiskajā regulējumā ir ietverts visnotaļ detalizēts parāda atgūšanas izdevumu apjoma noteikšanas regulējums, nosakot „griestus” atlīdzināmo parāda atgūšanas izdevumu apjomam, tādējādi aizsargājot parādnieku no pārmērīgas papildus izdevumu rašanās. Piemēram, saskaņā ar Somijas likumdošanā noteikto par parāda atgūšanas pakalpojuma sniedzēja sagatavoto sākotnējās pieprasījuma vēstules sagatavošanu un nosūtīšanu parādniekam ar aicinājumu veikt kavēto maksājuma saistību izpildi, kurā iekļauta visaptveroša informācija par parāda piedziņas pakalpojumu sniedzēju, parāda summu un to veidojošām komponentēm, kārtību, kādā parāds atmaksājams u.tml. informācija (līdzīgi kā likumprojekta 7.pantā) atlīdzināmo parāda atgūšanas izdevumu apjoms ir 21 eiro, ja parāda summa nepārsniedz 250 eiro, un 45 eiro, ja parāda summa ir lielāka par 250 eiro. Par rakstiskas atgādinājuma vēstules nosūtīšanu parādniekam ar aicinājumu veikt kavēto maksājuma saistību izpildi maksimāli atlīdzināmo izdevumu apjoms ir noteikts 5 eiro, savukārt par rakstiska parāda atmaksas maksājumu plāna sastādīšanu kopā ar parādnieku 30 eiro. </w:t>
      </w:r>
    </w:p>
    <w:p w:rsidR="00034343" w:rsidRPr="001B57EB" w:rsidRDefault="00034343" w:rsidP="00034343">
      <w:pPr>
        <w:spacing w:before="240"/>
        <w:jc w:val="both"/>
        <w:rPr>
          <w:i/>
          <w:sz w:val="27"/>
          <w:szCs w:val="27"/>
          <w:u w:val="single"/>
        </w:rPr>
      </w:pPr>
      <w:r w:rsidRPr="001B57EB">
        <w:rPr>
          <w:i/>
          <w:sz w:val="27"/>
          <w:szCs w:val="27"/>
          <w:u w:val="single"/>
        </w:rPr>
        <w:t xml:space="preserve">Regulējumā ietvertās „labas uzvedības” normas </w:t>
      </w:r>
    </w:p>
    <w:p w:rsidR="00034343" w:rsidRPr="001B57EB" w:rsidRDefault="00034343" w:rsidP="00034343">
      <w:pPr>
        <w:spacing w:before="80"/>
        <w:ind w:firstLine="720"/>
        <w:jc w:val="both"/>
        <w:rPr>
          <w:sz w:val="27"/>
          <w:szCs w:val="27"/>
        </w:rPr>
      </w:pPr>
      <w:r w:rsidRPr="001B57EB">
        <w:rPr>
          <w:sz w:val="27"/>
          <w:szCs w:val="27"/>
        </w:rPr>
        <w:t>Izvērtējot citu valstu regulējumā ietvertās tiesību normas attiecībā uz parāda atgūšanas procesā īstenojamām „labas uzvedības” normām, jānorāda, ka šim jautājumam ir pievērsta būtiska uzmanība un kopumā noteiktās prasības īstenojamajai komunikācijai ar parādnieku ir visnotaļ līdzīgas, piemēram:</w:t>
      </w:r>
    </w:p>
    <w:p w:rsidR="00034343" w:rsidRPr="001B57EB" w:rsidRDefault="00034343" w:rsidP="00034343">
      <w:pPr>
        <w:numPr>
          <w:ilvl w:val="0"/>
          <w:numId w:val="18"/>
        </w:numPr>
        <w:autoSpaceDE/>
        <w:autoSpaceDN/>
        <w:adjustRightInd/>
        <w:spacing w:before="80"/>
        <w:jc w:val="both"/>
        <w:rPr>
          <w:sz w:val="27"/>
          <w:szCs w:val="27"/>
        </w:rPr>
      </w:pPr>
      <w:r w:rsidRPr="001B57EB">
        <w:rPr>
          <w:sz w:val="27"/>
          <w:szCs w:val="27"/>
        </w:rPr>
        <w:t>noteikta prasība rakstveida komunikācijai ar parādnieku, lai informētu parādnieku par parāda esību;</w:t>
      </w:r>
    </w:p>
    <w:p w:rsidR="00034343" w:rsidRPr="001B57EB" w:rsidRDefault="00034343" w:rsidP="00034343">
      <w:pPr>
        <w:numPr>
          <w:ilvl w:val="0"/>
          <w:numId w:val="18"/>
        </w:numPr>
        <w:autoSpaceDE/>
        <w:autoSpaceDN/>
        <w:adjustRightInd/>
        <w:spacing w:before="80"/>
        <w:jc w:val="both"/>
        <w:rPr>
          <w:sz w:val="27"/>
          <w:szCs w:val="27"/>
        </w:rPr>
      </w:pPr>
      <w:r w:rsidRPr="001B57EB">
        <w:rPr>
          <w:sz w:val="27"/>
          <w:szCs w:val="27"/>
        </w:rPr>
        <w:lastRenderedPageBreak/>
        <w:t>noteikta prasība informēt parādnieku par parāda atgūšanas (atmaksas) gaitu;</w:t>
      </w:r>
    </w:p>
    <w:p w:rsidR="00034343" w:rsidRPr="001B57EB" w:rsidRDefault="00034343" w:rsidP="00034343">
      <w:pPr>
        <w:numPr>
          <w:ilvl w:val="0"/>
          <w:numId w:val="18"/>
        </w:numPr>
        <w:autoSpaceDE/>
        <w:autoSpaceDN/>
        <w:adjustRightInd/>
        <w:spacing w:before="80"/>
        <w:jc w:val="both"/>
        <w:rPr>
          <w:sz w:val="27"/>
          <w:szCs w:val="27"/>
        </w:rPr>
      </w:pPr>
      <w:r w:rsidRPr="001B57EB">
        <w:rPr>
          <w:sz w:val="27"/>
          <w:szCs w:val="27"/>
        </w:rPr>
        <w:t>noteikts aizliegums sniegt nepatiesas vai maldinošas ziņas par nemaksāšanas sekām;</w:t>
      </w:r>
    </w:p>
    <w:p w:rsidR="00034343" w:rsidRPr="001B57EB" w:rsidRDefault="00034343" w:rsidP="00034343">
      <w:pPr>
        <w:numPr>
          <w:ilvl w:val="0"/>
          <w:numId w:val="18"/>
        </w:numPr>
        <w:autoSpaceDE/>
        <w:autoSpaceDN/>
        <w:adjustRightInd/>
        <w:spacing w:before="80"/>
        <w:jc w:val="both"/>
        <w:rPr>
          <w:sz w:val="27"/>
          <w:szCs w:val="27"/>
        </w:rPr>
      </w:pPr>
      <w:r w:rsidRPr="001B57EB">
        <w:rPr>
          <w:sz w:val="27"/>
          <w:szCs w:val="27"/>
        </w:rPr>
        <w:t xml:space="preserve">noteikts aizliegums radīt parādniekam nesamērīgus vai nevajadzīgus izdevumus; </w:t>
      </w:r>
    </w:p>
    <w:p w:rsidR="00034343" w:rsidRPr="001B57EB" w:rsidRDefault="00034343" w:rsidP="00034343">
      <w:pPr>
        <w:numPr>
          <w:ilvl w:val="0"/>
          <w:numId w:val="18"/>
        </w:numPr>
        <w:autoSpaceDE/>
        <w:autoSpaceDN/>
        <w:adjustRightInd/>
        <w:spacing w:before="80"/>
        <w:jc w:val="both"/>
        <w:rPr>
          <w:sz w:val="27"/>
          <w:szCs w:val="27"/>
        </w:rPr>
      </w:pPr>
      <w:r w:rsidRPr="001B57EB">
        <w:rPr>
          <w:sz w:val="27"/>
          <w:szCs w:val="27"/>
        </w:rPr>
        <w:t>noteikts aizliegums traucēt parādnieku tam nevēlamās vietās un laikos;</w:t>
      </w:r>
    </w:p>
    <w:p w:rsidR="00034343" w:rsidRPr="001B57EB" w:rsidRDefault="00034343" w:rsidP="00034343">
      <w:pPr>
        <w:numPr>
          <w:ilvl w:val="0"/>
          <w:numId w:val="18"/>
        </w:numPr>
        <w:autoSpaceDE/>
        <w:autoSpaceDN/>
        <w:adjustRightInd/>
        <w:spacing w:before="80"/>
        <w:jc w:val="both"/>
        <w:rPr>
          <w:sz w:val="27"/>
          <w:szCs w:val="27"/>
        </w:rPr>
      </w:pPr>
      <w:r w:rsidRPr="001B57EB">
        <w:rPr>
          <w:sz w:val="27"/>
          <w:szCs w:val="27"/>
        </w:rPr>
        <w:t>noteikts aizliegums pakļaut apdraudējumam parādnieka personas drošību;</w:t>
      </w:r>
    </w:p>
    <w:p w:rsidR="00034343" w:rsidRPr="001B57EB" w:rsidRDefault="00034343" w:rsidP="00034343">
      <w:pPr>
        <w:numPr>
          <w:ilvl w:val="0"/>
          <w:numId w:val="18"/>
        </w:numPr>
        <w:autoSpaceDE/>
        <w:autoSpaceDN/>
        <w:adjustRightInd/>
        <w:spacing w:before="80"/>
        <w:jc w:val="both"/>
        <w:rPr>
          <w:sz w:val="27"/>
          <w:szCs w:val="27"/>
        </w:rPr>
      </w:pPr>
      <w:r w:rsidRPr="001B57EB">
        <w:rPr>
          <w:sz w:val="27"/>
          <w:szCs w:val="27"/>
        </w:rPr>
        <w:t>noteikt nosacījumus sniedzamajai informācijai par parādnieku trešajām personām u.tml.</w:t>
      </w:r>
    </w:p>
    <w:p w:rsidR="00034343" w:rsidRPr="001B57EB" w:rsidRDefault="00034343" w:rsidP="00034343">
      <w:pPr>
        <w:spacing w:before="240"/>
        <w:jc w:val="both"/>
        <w:rPr>
          <w:i/>
          <w:sz w:val="27"/>
          <w:szCs w:val="27"/>
          <w:u w:val="single"/>
        </w:rPr>
      </w:pPr>
      <w:r w:rsidRPr="001B57EB">
        <w:rPr>
          <w:i/>
          <w:sz w:val="27"/>
          <w:szCs w:val="27"/>
          <w:u w:val="single"/>
        </w:rPr>
        <w:t>Parāda atgūšanas pakalpojuma sniedzēja darbības licencēšana</w:t>
      </w:r>
    </w:p>
    <w:p w:rsidR="00034343" w:rsidRPr="00034343" w:rsidRDefault="00034343" w:rsidP="00034343">
      <w:pPr>
        <w:spacing w:before="80"/>
        <w:ind w:firstLine="720"/>
        <w:jc w:val="both"/>
        <w:rPr>
          <w:sz w:val="28"/>
          <w:szCs w:val="28"/>
        </w:rPr>
      </w:pPr>
      <w:r w:rsidRPr="001B57EB">
        <w:rPr>
          <w:sz w:val="27"/>
          <w:szCs w:val="27"/>
        </w:rPr>
        <w:t xml:space="preserve">Analizējot citu valstu parāda atgūšanas tiesisko regulējumu, jāsecina, ka efektīvas parāda atgūšanas darbības jomas kontroles un uzraudzības nolūkos ir paredzēta parāda atgūšanas pakalpojumu sniedzēju licencēšana. Šādas prasības ir paredzētas Somijas, Norvēģijas, Lielbritānijas u.c. valstu likumdošanā. Izsniegtās atļaujas termiņi ir visnotaļ dažādi, piemēram, Somijā, Dānijā un Lielbritānijā izsniegtās atļaujas termiņš ir 5 gadi, savukārt Vācijā un Austrijā atļauja ir derīga, kamēr persona, kurai ir piešķirta atļauja, strādā uzņēmumā. </w:t>
      </w:r>
    </w:p>
    <w:p w:rsidR="00B3013A" w:rsidRPr="001B57EB" w:rsidRDefault="00B3013A" w:rsidP="00034343">
      <w:pPr>
        <w:shd w:val="clear" w:color="auto" w:fill="FFFFFF"/>
        <w:ind w:left="29"/>
        <w:jc w:val="both"/>
        <w:rPr>
          <w:sz w:val="26"/>
          <w:szCs w:val="26"/>
        </w:rPr>
      </w:pPr>
    </w:p>
    <w:p w:rsidR="0085686E" w:rsidRPr="001B57EB" w:rsidRDefault="0085686E" w:rsidP="004705C0">
      <w:pPr>
        <w:rPr>
          <w:sz w:val="26"/>
          <w:szCs w:val="26"/>
        </w:rPr>
      </w:pPr>
    </w:p>
    <w:p w:rsidR="001B57EB" w:rsidRPr="001B57EB" w:rsidRDefault="001B57EB" w:rsidP="004705C0">
      <w:pPr>
        <w:rPr>
          <w:sz w:val="26"/>
          <w:szCs w:val="26"/>
        </w:rPr>
      </w:pPr>
    </w:p>
    <w:p w:rsidR="004705C0" w:rsidRPr="001B57EB" w:rsidRDefault="004705C0" w:rsidP="004705C0">
      <w:pPr>
        <w:rPr>
          <w:sz w:val="26"/>
          <w:szCs w:val="26"/>
        </w:rPr>
      </w:pPr>
      <w:r w:rsidRPr="001B57EB">
        <w:rPr>
          <w:sz w:val="26"/>
          <w:szCs w:val="26"/>
        </w:rPr>
        <w:t>Ekonomikas ministrs</w:t>
      </w:r>
      <w:r w:rsidRPr="001B57EB">
        <w:rPr>
          <w:sz w:val="26"/>
          <w:szCs w:val="26"/>
        </w:rPr>
        <w:tab/>
      </w:r>
      <w:r w:rsidRPr="001B57EB">
        <w:rPr>
          <w:sz w:val="26"/>
          <w:szCs w:val="26"/>
        </w:rPr>
        <w:tab/>
      </w:r>
      <w:r w:rsidRPr="001B57EB">
        <w:rPr>
          <w:sz w:val="26"/>
          <w:szCs w:val="26"/>
        </w:rPr>
        <w:tab/>
      </w:r>
      <w:r w:rsidRPr="001B57EB">
        <w:rPr>
          <w:sz w:val="26"/>
          <w:szCs w:val="26"/>
        </w:rPr>
        <w:tab/>
      </w:r>
      <w:r w:rsidRPr="001B57EB">
        <w:rPr>
          <w:sz w:val="26"/>
          <w:szCs w:val="26"/>
        </w:rPr>
        <w:tab/>
      </w:r>
      <w:r w:rsidRPr="001B57EB">
        <w:rPr>
          <w:sz w:val="26"/>
          <w:szCs w:val="26"/>
        </w:rPr>
        <w:tab/>
      </w:r>
      <w:r w:rsidR="001B57EB">
        <w:rPr>
          <w:sz w:val="26"/>
          <w:szCs w:val="26"/>
        </w:rPr>
        <w:tab/>
      </w:r>
      <w:r w:rsidRPr="001B57EB">
        <w:rPr>
          <w:sz w:val="26"/>
          <w:szCs w:val="26"/>
        </w:rPr>
        <w:t>A.Kampars</w:t>
      </w:r>
    </w:p>
    <w:p w:rsidR="004705C0" w:rsidRPr="001B57EB" w:rsidRDefault="004705C0" w:rsidP="004705C0">
      <w:pPr>
        <w:rPr>
          <w:sz w:val="26"/>
          <w:szCs w:val="26"/>
        </w:rPr>
      </w:pPr>
    </w:p>
    <w:p w:rsidR="0085686E" w:rsidRPr="001B57EB" w:rsidRDefault="0085686E" w:rsidP="004705C0">
      <w:pPr>
        <w:rPr>
          <w:bCs/>
          <w:sz w:val="26"/>
          <w:szCs w:val="26"/>
        </w:rPr>
      </w:pPr>
    </w:p>
    <w:p w:rsidR="001B57EB" w:rsidRPr="001B57EB" w:rsidRDefault="001B57EB" w:rsidP="004705C0">
      <w:pPr>
        <w:rPr>
          <w:bCs/>
          <w:sz w:val="26"/>
          <w:szCs w:val="26"/>
        </w:rPr>
      </w:pPr>
    </w:p>
    <w:p w:rsidR="004705C0" w:rsidRPr="001B57EB" w:rsidRDefault="004705C0" w:rsidP="004705C0">
      <w:pPr>
        <w:rPr>
          <w:bCs/>
          <w:sz w:val="26"/>
          <w:szCs w:val="26"/>
        </w:rPr>
      </w:pPr>
      <w:r w:rsidRPr="001B57EB">
        <w:rPr>
          <w:bCs/>
          <w:sz w:val="26"/>
          <w:szCs w:val="26"/>
        </w:rPr>
        <w:t>Vīza: Valsts sekretārs                             </w:t>
      </w:r>
      <w:r w:rsidRPr="001B57EB">
        <w:rPr>
          <w:bCs/>
          <w:sz w:val="26"/>
          <w:szCs w:val="26"/>
        </w:rPr>
        <w:tab/>
      </w:r>
      <w:r w:rsidRPr="001B57EB">
        <w:rPr>
          <w:bCs/>
          <w:sz w:val="26"/>
          <w:szCs w:val="26"/>
        </w:rPr>
        <w:tab/>
      </w:r>
      <w:r w:rsidR="001B57EB">
        <w:rPr>
          <w:bCs/>
          <w:sz w:val="26"/>
          <w:szCs w:val="26"/>
        </w:rPr>
        <w:tab/>
      </w:r>
      <w:r w:rsidR="001B57EB">
        <w:rPr>
          <w:bCs/>
          <w:sz w:val="26"/>
          <w:szCs w:val="26"/>
        </w:rPr>
        <w:tab/>
      </w:r>
      <w:r w:rsidRPr="001B57EB">
        <w:rPr>
          <w:bCs/>
          <w:sz w:val="26"/>
          <w:szCs w:val="26"/>
        </w:rPr>
        <w:tab/>
        <w:t>J.Pūce</w:t>
      </w:r>
    </w:p>
    <w:p w:rsidR="004705C0" w:rsidRPr="001B57EB" w:rsidRDefault="004705C0" w:rsidP="004705C0">
      <w:pPr>
        <w:pStyle w:val="BodyTextIndent"/>
        <w:suppressAutoHyphens/>
        <w:ind w:left="0" w:right="-341"/>
        <w:jc w:val="both"/>
        <w:rPr>
          <w:sz w:val="26"/>
          <w:szCs w:val="26"/>
        </w:rPr>
      </w:pPr>
    </w:p>
    <w:p w:rsidR="0085686E" w:rsidRDefault="0085686E" w:rsidP="004705C0">
      <w:pPr>
        <w:pStyle w:val="BodyTextIndent"/>
        <w:suppressAutoHyphens/>
        <w:ind w:left="0" w:right="-341"/>
        <w:jc w:val="both"/>
        <w:rPr>
          <w:sz w:val="20"/>
        </w:rPr>
      </w:pPr>
    </w:p>
    <w:p w:rsidR="001B57EB" w:rsidRDefault="001B57EB" w:rsidP="004705C0">
      <w:pPr>
        <w:pStyle w:val="BodyTextIndent"/>
        <w:suppressAutoHyphens/>
        <w:ind w:left="0" w:right="-341"/>
        <w:jc w:val="both"/>
        <w:rPr>
          <w:sz w:val="20"/>
        </w:rPr>
      </w:pPr>
    </w:p>
    <w:p w:rsidR="001B57EB" w:rsidRDefault="001B57EB" w:rsidP="004705C0">
      <w:pPr>
        <w:pStyle w:val="BodyTextIndent"/>
        <w:suppressAutoHyphens/>
        <w:ind w:left="0" w:right="-341"/>
        <w:jc w:val="both"/>
        <w:rPr>
          <w:sz w:val="20"/>
        </w:rPr>
      </w:pPr>
    </w:p>
    <w:p w:rsidR="0085686E" w:rsidRDefault="0085686E" w:rsidP="004705C0">
      <w:pPr>
        <w:pStyle w:val="BodyTextIndent"/>
        <w:suppressAutoHyphens/>
        <w:ind w:left="0" w:right="-341"/>
        <w:jc w:val="both"/>
        <w:rPr>
          <w:sz w:val="20"/>
        </w:rPr>
      </w:pPr>
    </w:p>
    <w:p w:rsidR="004705C0" w:rsidRPr="004F1F2D" w:rsidRDefault="001B57EB" w:rsidP="004705C0">
      <w:pPr>
        <w:pStyle w:val="BodyTextIndent"/>
        <w:suppressAutoHyphens/>
        <w:ind w:left="0" w:right="-341"/>
        <w:jc w:val="both"/>
        <w:rPr>
          <w:sz w:val="20"/>
        </w:rPr>
      </w:pPr>
      <w:r>
        <w:rPr>
          <w:sz w:val="20"/>
        </w:rPr>
        <w:t>12</w:t>
      </w:r>
      <w:r w:rsidR="004705C0" w:rsidRPr="004F1F2D">
        <w:rPr>
          <w:sz w:val="20"/>
        </w:rPr>
        <w:t>.0</w:t>
      </w:r>
      <w:r>
        <w:rPr>
          <w:sz w:val="20"/>
        </w:rPr>
        <w:t>9</w:t>
      </w:r>
      <w:r w:rsidR="004705C0">
        <w:rPr>
          <w:sz w:val="20"/>
        </w:rPr>
        <w:t>.20</w:t>
      </w:r>
      <w:r w:rsidR="002C11D7">
        <w:rPr>
          <w:sz w:val="20"/>
        </w:rPr>
        <w:t>11</w:t>
      </w:r>
      <w:r w:rsidR="00796E51">
        <w:rPr>
          <w:sz w:val="20"/>
        </w:rPr>
        <w:t xml:space="preserve">. </w:t>
      </w:r>
      <w:r w:rsidR="008A0EAD">
        <w:rPr>
          <w:sz w:val="20"/>
        </w:rPr>
        <w:t>1</w:t>
      </w:r>
      <w:r w:rsidR="00F01CFA">
        <w:rPr>
          <w:sz w:val="20"/>
        </w:rPr>
        <w:t>1</w:t>
      </w:r>
      <w:r w:rsidR="008A0EAD">
        <w:rPr>
          <w:sz w:val="20"/>
        </w:rPr>
        <w:t>:</w:t>
      </w:r>
      <w:r w:rsidR="00F01CFA">
        <w:rPr>
          <w:sz w:val="20"/>
        </w:rPr>
        <w:t>04</w:t>
      </w:r>
    </w:p>
    <w:p w:rsidR="004705C0" w:rsidRPr="00082E15" w:rsidRDefault="000E2009" w:rsidP="004705C0">
      <w:pPr>
        <w:pStyle w:val="BodyTextIndent"/>
        <w:suppressAutoHyphens/>
        <w:ind w:left="0" w:right="-341"/>
        <w:jc w:val="both"/>
        <w:rPr>
          <w:sz w:val="20"/>
        </w:rPr>
      </w:pPr>
      <w:fldSimple w:instr=" NUMWORDS  \* Arabic  \* MERGEFORMAT ">
        <w:r w:rsidR="00215898" w:rsidRPr="00215898">
          <w:rPr>
            <w:noProof/>
            <w:sz w:val="20"/>
          </w:rPr>
          <w:t>1230</w:t>
        </w:r>
      </w:fldSimple>
    </w:p>
    <w:p w:rsidR="004705C0" w:rsidRPr="004F1F2D" w:rsidRDefault="001B57EB" w:rsidP="004705C0">
      <w:pPr>
        <w:pStyle w:val="BodyTextIndent"/>
        <w:suppressAutoHyphens/>
        <w:ind w:left="0" w:right="-341"/>
        <w:jc w:val="both"/>
        <w:rPr>
          <w:sz w:val="20"/>
        </w:rPr>
      </w:pPr>
      <w:r>
        <w:rPr>
          <w:sz w:val="20"/>
        </w:rPr>
        <w:t>I.Eglītis</w:t>
      </w:r>
    </w:p>
    <w:p w:rsidR="001B57EB" w:rsidRDefault="004705C0" w:rsidP="004705C0">
      <w:pPr>
        <w:pStyle w:val="BodyTextIndent"/>
        <w:suppressAutoHyphens/>
        <w:ind w:left="0" w:right="-341"/>
        <w:jc w:val="both"/>
        <w:rPr>
          <w:sz w:val="20"/>
        </w:rPr>
      </w:pPr>
      <w:r w:rsidRPr="004F1F2D">
        <w:rPr>
          <w:sz w:val="20"/>
        </w:rPr>
        <w:t>6701323</w:t>
      </w:r>
      <w:r w:rsidR="001B57EB">
        <w:rPr>
          <w:sz w:val="20"/>
        </w:rPr>
        <w:t>6</w:t>
      </w:r>
      <w:r w:rsidRPr="004F1F2D">
        <w:rPr>
          <w:sz w:val="20"/>
        </w:rPr>
        <w:t xml:space="preserve">; </w:t>
      </w:r>
      <w:hyperlink r:id="rId8" w:history="1">
        <w:r w:rsidR="001B57EB" w:rsidRPr="000549F2">
          <w:rPr>
            <w:rStyle w:val="Hyperlink"/>
            <w:sz w:val="20"/>
          </w:rPr>
          <w:t>Intars.Eglitis@em.gov.lv</w:t>
        </w:r>
      </w:hyperlink>
    </w:p>
    <w:p w:rsidR="004705C0" w:rsidRPr="004F1F2D" w:rsidRDefault="004705C0" w:rsidP="004705C0">
      <w:pPr>
        <w:pStyle w:val="BodyTextIndent"/>
        <w:suppressAutoHyphens/>
        <w:ind w:left="0" w:right="-341"/>
        <w:jc w:val="both"/>
        <w:rPr>
          <w:sz w:val="20"/>
        </w:rPr>
      </w:pPr>
    </w:p>
    <w:p w:rsidR="004B2E22" w:rsidRDefault="004B2E22"/>
    <w:sectPr w:rsidR="004B2E22" w:rsidSect="00AA4557">
      <w:headerReference w:type="even" r:id="rId9"/>
      <w:headerReference w:type="default" r:id="rId10"/>
      <w:footerReference w:type="even" r:id="rId11"/>
      <w:footerReference w:type="default" r:id="rId12"/>
      <w:footerReference w:type="first" r:id="rId13"/>
      <w:pgSz w:w="11909" w:h="16834"/>
      <w:pgMar w:top="1276" w:right="1134" w:bottom="1618" w:left="1701" w:header="720" w:footer="645"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7EA" w:rsidRDefault="00DF27EA" w:rsidP="004705C0">
      <w:r>
        <w:separator/>
      </w:r>
    </w:p>
  </w:endnote>
  <w:endnote w:type="continuationSeparator" w:id="0">
    <w:p w:rsidR="00DF27EA" w:rsidRDefault="00DF27EA" w:rsidP="00470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0E2009" w:rsidP="00367698">
    <w:pPr>
      <w:pStyle w:val="Footer"/>
      <w:framePr w:wrap="around" w:vAnchor="text" w:hAnchor="margin" w:xAlign="right" w:y="1"/>
      <w:rPr>
        <w:rStyle w:val="PageNumber"/>
      </w:rPr>
    </w:pPr>
    <w:r>
      <w:rPr>
        <w:rStyle w:val="PageNumber"/>
      </w:rPr>
      <w:fldChar w:fldCharType="begin"/>
    </w:r>
    <w:r w:rsidR="00367698">
      <w:rPr>
        <w:rStyle w:val="PageNumber"/>
      </w:rPr>
      <w:instrText xml:space="preserve">PAGE  </w:instrText>
    </w:r>
    <w:r>
      <w:rPr>
        <w:rStyle w:val="PageNumber"/>
      </w:rPr>
      <w:fldChar w:fldCharType="separate"/>
    </w:r>
    <w:r w:rsidR="00367698">
      <w:rPr>
        <w:rStyle w:val="PageNumber"/>
        <w:noProof/>
      </w:rPr>
      <w:t>9</w:t>
    </w:r>
    <w:r>
      <w:rPr>
        <w:rStyle w:val="PageNumber"/>
      </w:rPr>
      <w:fldChar w:fldCharType="end"/>
    </w:r>
  </w:p>
  <w:p w:rsidR="00367698" w:rsidRDefault="00367698" w:rsidP="003676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367698" w:rsidP="00367698">
    <w:pPr>
      <w:pStyle w:val="Footer"/>
      <w:framePr w:wrap="around" w:vAnchor="text" w:hAnchor="margin" w:xAlign="right" w:y="1"/>
      <w:rPr>
        <w:rStyle w:val="PageNumber"/>
      </w:rPr>
    </w:pPr>
  </w:p>
  <w:p w:rsidR="00367698" w:rsidRDefault="001B57EB" w:rsidP="00367698">
    <w:pPr>
      <w:pStyle w:val="Footer"/>
      <w:jc w:val="both"/>
    </w:pPr>
    <w:r>
      <w:t xml:space="preserve">EMZino_120911_parada </w:t>
    </w:r>
    <w:proofErr w:type="spellStart"/>
    <w:r>
      <w:t>atgusana</w:t>
    </w:r>
    <w:proofErr w:type="spellEnd"/>
    <w:r>
      <w:t xml:space="preserve">; Informatīvais </w:t>
    </w:r>
    <w:smartTag w:uri="schemas-tilde-lv/tildestengine" w:element="veidnes">
      <w:smartTagPr>
        <w:attr w:name="id" w:val="-1"/>
        <w:attr w:name="baseform" w:val="ziņojums"/>
        <w:attr w:name="text" w:val="ziņojums"/>
      </w:smartTagPr>
      <w:r>
        <w:t>ziņojums</w:t>
      </w:r>
    </w:smartTag>
    <w:r>
      <w:t xml:space="preserve"> par likumprojektu </w:t>
    </w:r>
    <w:r w:rsidRPr="00367698">
      <w:t>„Par</w:t>
    </w:r>
    <w:r>
      <w:t>āda atgūšanas likums</w:t>
    </w:r>
    <w:r w:rsidRPr="00367698">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E16BD0" w:rsidP="00367698">
    <w:pPr>
      <w:pStyle w:val="Footer"/>
      <w:jc w:val="both"/>
    </w:pPr>
    <w:r>
      <w:t>EMZ</w:t>
    </w:r>
    <w:r w:rsidR="00796E51">
      <w:t>ino_</w:t>
    </w:r>
    <w:r w:rsidR="001B57EB">
      <w:t>1</w:t>
    </w:r>
    <w:r w:rsidR="00F01CFA">
      <w:t>2</w:t>
    </w:r>
    <w:r w:rsidR="001B57EB">
      <w:t>09</w:t>
    </w:r>
    <w:r w:rsidR="00367698">
      <w:t>11_</w:t>
    </w:r>
    <w:r w:rsidR="001B57EB">
      <w:t xml:space="preserve">parada </w:t>
    </w:r>
    <w:proofErr w:type="spellStart"/>
    <w:r w:rsidR="001B57EB">
      <w:t>atgusana</w:t>
    </w:r>
    <w:proofErr w:type="spellEnd"/>
    <w:r w:rsidR="00367698">
      <w:t xml:space="preserve">; Informatīvais </w:t>
    </w:r>
    <w:smartTag w:uri="schemas-tilde-lv/tildestengine" w:element="veidnes">
      <w:smartTagPr>
        <w:attr w:name="id" w:val="-1"/>
        <w:attr w:name="baseform" w:val="ziņojums"/>
        <w:attr w:name="text" w:val="ziņojums"/>
      </w:smartTagPr>
      <w:r w:rsidR="00367698">
        <w:t>ziņojums</w:t>
      </w:r>
    </w:smartTag>
    <w:r w:rsidR="00367698">
      <w:t xml:space="preserve"> </w:t>
    </w:r>
    <w:r w:rsidR="001B57EB">
      <w:t xml:space="preserve">par likumprojektu </w:t>
    </w:r>
    <w:r w:rsidR="00367698" w:rsidRPr="00367698">
      <w:t>„Par</w:t>
    </w:r>
    <w:r w:rsidR="001B57EB">
      <w:t>āda atgūšanas likums</w:t>
    </w:r>
    <w:r w:rsidR="00367698" w:rsidRPr="00367698">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7EA" w:rsidRDefault="00DF27EA" w:rsidP="004705C0">
      <w:r>
        <w:separator/>
      </w:r>
    </w:p>
  </w:footnote>
  <w:footnote w:type="continuationSeparator" w:id="0">
    <w:p w:rsidR="00DF27EA" w:rsidRDefault="00DF27EA" w:rsidP="00470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0E2009" w:rsidP="00367698">
    <w:pPr>
      <w:pStyle w:val="Header"/>
      <w:framePr w:wrap="around" w:vAnchor="text" w:hAnchor="margin" w:xAlign="center" w:y="1"/>
      <w:rPr>
        <w:rStyle w:val="PageNumber"/>
      </w:rPr>
    </w:pPr>
    <w:r>
      <w:rPr>
        <w:rStyle w:val="PageNumber"/>
      </w:rPr>
      <w:fldChar w:fldCharType="begin"/>
    </w:r>
    <w:r w:rsidR="00367698">
      <w:rPr>
        <w:rStyle w:val="PageNumber"/>
      </w:rPr>
      <w:instrText xml:space="preserve">PAGE  </w:instrText>
    </w:r>
    <w:r>
      <w:rPr>
        <w:rStyle w:val="PageNumber"/>
      </w:rPr>
      <w:fldChar w:fldCharType="separate"/>
    </w:r>
    <w:r w:rsidR="00367698">
      <w:rPr>
        <w:rStyle w:val="PageNumber"/>
        <w:noProof/>
      </w:rPr>
      <w:t>9</w:t>
    </w:r>
    <w:r>
      <w:rPr>
        <w:rStyle w:val="PageNumber"/>
      </w:rPr>
      <w:fldChar w:fldCharType="end"/>
    </w:r>
  </w:p>
  <w:p w:rsidR="00367698" w:rsidRDefault="003676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Pr="00B26882" w:rsidRDefault="000E2009" w:rsidP="00367698">
    <w:pPr>
      <w:pStyle w:val="Header"/>
      <w:framePr w:wrap="around" w:vAnchor="text" w:hAnchor="margin" w:xAlign="center" w:y="1"/>
      <w:rPr>
        <w:rStyle w:val="PageNumber"/>
        <w:sz w:val="24"/>
        <w:szCs w:val="24"/>
      </w:rPr>
    </w:pPr>
    <w:r w:rsidRPr="00B26882">
      <w:rPr>
        <w:rStyle w:val="PageNumber"/>
        <w:sz w:val="24"/>
        <w:szCs w:val="24"/>
      </w:rPr>
      <w:fldChar w:fldCharType="begin"/>
    </w:r>
    <w:r w:rsidR="00367698" w:rsidRPr="00B26882">
      <w:rPr>
        <w:rStyle w:val="PageNumber"/>
        <w:sz w:val="24"/>
        <w:szCs w:val="24"/>
      </w:rPr>
      <w:instrText xml:space="preserve">PAGE  </w:instrText>
    </w:r>
    <w:r w:rsidRPr="00B26882">
      <w:rPr>
        <w:rStyle w:val="PageNumber"/>
        <w:sz w:val="24"/>
        <w:szCs w:val="24"/>
      </w:rPr>
      <w:fldChar w:fldCharType="separate"/>
    </w:r>
    <w:r w:rsidR="00215898">
      <w:rPr>
        <w:rStyle w:val="PageNumber"/>
        <w:noProof/>
        <w:sz w:val="24"/>
        <w:szCs w:val="24"/>
      </w:rPr>
      <w:t>4</w:t>
    </w:r>
    <w:r w:rsidRPr="00B26882">
      <w:rPr>
        <w:rStyle w:val="PageNumber"/>
        <w:sz w:val="24"/>
        <w:szCs w:val="24"/>
      </w:rPr>
      <w:fldChar w:fldCharType="end"/>
    </w:r>
  </w:p>
  <w:p w:rsidR="00367698" w:rsidRDefault="00367698" w:rsidP="00367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9FB"/>
    <w:multiLevelType w:val="hybridMultilevel"/>
    <w:tmpl w:val="712622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C1A7BCE"/>
    <w:multiLevelType w:val="hybridMultilevel"/>
    <w:tmpl w:val="9FEE19D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
    <w:nsid w:val="15370ABA"/>
    <w:multiLevelType w:val="multilevel"/>
    <w:tmpl w:val="E2D6BFB2"/>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200B7007"/>
    <w:multiLevelType w:val="hybridMultilevel"/>
    <w:tmpl w:val="9F422242"/>
    <w:lvl w:ilvl="0" w:tplc="BF92B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6095B77"/>
    <w:multiLevelType w:val="hybridMultilevel"/>
    <w:tmpl w:val="35DA48D4"/>
    <w:lvl w:ilvl="0" w:tplc="6178D154">
      <w:start w:val="1"/>
      <w:numFmt w:val="decimal"/>
      <w:lvlText w:val="%1)"/>
      <w:lvlJc w:val="left"/>
      <w:pPr>
        <w:ind w:left="1669" w:hanging="9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3DF35B93"/>
    <w:multiLevelType w:val="hybridMultilevel"/>
    <w:tmpl w:val="A2786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9E759AA"/>
    <w:multiLevelType w:val="hybridMultilevel"/>
    <w:tmpl w:val="AF280936"/>
    <w:lvl w:ilvl="0" w:tplc="073CCBC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4A2F3828"/>
    <w:multiLevelType w:val="hybridMultilevel"/>
    <w:tmpl w:val="09382734"/>
    <w:lvl w:ilvl="0" w:tplc="74F44FB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4C96568F"/>
    <w:multiLevelType w:val="hybridMultilevel"/>
    <w:tmpl w:val="1F4E751A"/>
    <w:lvl w:ilvl="0" w:tplc="1FE0397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501D32EB"/>
    <w:multiLevelType w:val="hybridMultilevel"/>
    <w:tmpl w:val="48FEAB06"/>
    <w:lvl w:ilvl="0" w:tplc="0426000F">
      <w:start w:val="1"/>
      <w:numFmt w:val="decimal"/>
      <w:lvlText w:val="%1."/>
      <w:lvlJc w:val="left"/>
      <w:pPr>
        <w:ind w:left="1095" w:hanging="360"/>
      </w:pPr>
      <w:rPr>
        <w:rFonts w:hint="default"/>
      </w:rPr>
    </w:lvl>
    <w:lvl w:ilvl="1" w:tplc="04260003" w:tentative="1">
      <w:start w:val="1"/>
      <w:numFmt w:val="bullet"/>
      <w:lvlText w:val="o"/>
      <w:lvlJc w:val="left"/>
      <w:pPr>
        <w:ind w:left="1815" w:hanging="360"/>
      </w:pPr>
      <w:rPr>
        <w:rFonts w:ascii="Courier New" w:hAnsi="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11">
    <w:nsid w:val="541E3B78"/>
    <w:multiLevelType w:val="hybridMultilevel"/>
    <w:tmpl w:val="53DC98D0"/>
    <w:lvl w:ilvl="0" w:tplc="180CF550">
      <w:start w:val="6"/>
      <w:numFmt w:val="bullet"/>
      <w:lvlText w:val="-"/>
      <w:lvlJc w:val="left"/>
      <w:pPr>
        <w:ind w:left="1004" w:hanging="360"/>
      </w:pPr>
      <w:rPr>
        <w:rFonts w:ascii="Calibri" w:eastAsia="Calibri" w:hAnsi="Calibri"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nsid w:val="588D6536"/>
    <w:multiLevelType w:val="hybridMultilevel"/>
    <w:tmpl w:val="C54A19D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5C1272AD"/>
    <w:multiLevelType w:val="hybridMultilevel"/>
    <w:tmpl w:val="3FF03DE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697A3D24"/>
    <w:multiLevelType w:val="singleLevel"/>
    <w:tmpl w:val="E54046AA"/>
    <w:name w:val="Considérant"/>
    <w:lvl w:ilvl="0">
      <w:start w:val="1"/>
      <w:numFmt w:val="decimal"/>
      <w:pStyle w:val="Considrant"/>
      <w:lvlText w:val="(%1)"/>
      <w:lvlJc w:val="left"/>
      <w:pPr>
        <w:tabs>
          <w:tab w:val="num" w:pos="709"/>
        </w:tabs>
        <w:ind w:left="709" w:hanging="709"/>
      </w:pPr>
      <w:rPr>
        <w:rFonts w:cs="Times New Roman"/>
      </w:rPr>
    </w:lvl>
  </w:abstractNum>
  <w:abstractNum w:abstractNumId="15">
    <w:nsid w:val="71B150A4"/>
    <w:multiLevelType w:val="hybridMultilevel"/>
    <w:tmpl w:val="8A50BF2A"/>
    <w:name w:val="__28"/>
    <w:lvl w:ilvl="0" w:tplc="6128D67A">
      <w:start w:val="1"/>
      <w:numFmt w:val="decimal"/>
      <w:lvlText w:val="%1."/>
      <w:lvlJc w:val="left"/>
      <w:pPr>
        <w:ind w:left="1080" w:hanging="360"/>
      </w:pPr>
      <w:rPr>
        <w:rFonts w:cs="Times New Roman" w:hint="default"/>
      </w:rPr>
    </w:lvl>
    <w:lvl w:ilvl="1" w:tplc="8198034E" w:tentative="1">
      <w:start w:val="1"/>
      <w:numFmt w:val="lowerLetter"/>
      <w:lvlText w:val="%2."/>
      <w:lvlJc w:val="left"/>
      <w:pPr>
        <w:ind w:left="1800" w:hanging="360"/>
      </w:pPr>
      <w:rPr>
        <w:rFonts w:cs="Times New Roman"/>
      </w:rPr>
    </w:lvl>
    <w:lvl w:ilvl="2" w:tplc="2228B254" w:tentative="1">
      <w:start w:val="1"/>
      <w:numFmt w:val="lowerRoman"/>
      <w:lvlText w:val="%3."/>
      <w:lvlJc w:val="right"/>
      <w:pPr>
        <w:ind w:left="2520" w:hanging="180"/>
      </w:pPr>
      <w:rPr>
        <w:rFonts w:cs="Times New Roman"/>
      </w:rPr>
    </w:lvl>
    <w:lvl w:ilvl="3" w:tplc="EA369B44" w:tentative="1">
      <w:start w:val="1"/>
      <w:numFmt w:val="decimal"/>
      <w:lvlText w:val="%4."/>
      <w:lvlJc w:val="left"/>
      <w:pPr>
        <w:ind w:left="3240" w:hanging="360"/>
      </w:pPr>
      <w:rPr>
        <w:rFonts w:cs="Times New Roman"/>
      </w:rPr>
    </w:lvl>
    <w:lvl w:ilvl="4" w:tplc="045CB46C" w:tentative="1">
      <w:start w:val="1"/>
      <w:numFmt w:val="lowerLetter"/>
      <w:lvlText w:val="%5."/>
      <w:lvlJc w:val="left"/>
      <w:pPr>
        <w:ind w:left="3960" w:hanging="360"/>
      </w:pPr>
      <w:rPr>
        <w:rFonts w:cs="Times New Roman"/>
      </w:rPr>
    </w:lvl>
    <w:lvl w:ilvl="5" w:tplc="04686B4C" w:tentative="1">
      <w:start w:val="1"/>
      <w:numFmt w:val="lowerRoman"/>
      <w:lvlText w:val="%6."/>
      <w:lvlJc w:val="right"/>
      <w:pPr>
        <w:ind w:left="4680" w:hanging="180"/>
      </w:pPr>
      <w:rPr>
        <w:rFonts w:cs="Times New Roman"/>
      </w:rPr>
    </w:lvl>
    <w:lvl w:ilvl="6" w:tplc="B05C62FA" w:tentative="1">
      <w:start w:val="1"/>
      <w:numFmt w:val="decimal"/>
      <w:lvlText w:val="%7."/>
      <w:lvlJc w:val="left"/>
      <w:pPr>
        <w:ind w:left="5400" w:hanging="360"/>
      </w:pPr>
      <w:rPr>
        <w:rFonts w:cs="Times New Roman"/>
      </w:rPr>
    </w:lvl>
    <w:lvl w:ilvl="7" w:tplc="9104CE0A" w:tentative="1">
      <w:start w:val="1"/>
      <w:numFmt w:val="lowerLetter"/>
      <w:lvlText w:val="%8."/>
      <w:lvlJc w:val="left"/>
      <w:pPr>
        <w:ind w:left="6120" w:hanging="360"/>
      </w:pPr>
      <w:rPr>
        <w:rFonts w:cs="Times New Roman"/>
      </w:rPr>
    </w:lvl>
    <w:lvl w:ilvl="8" w:tplc="FA369C1A" w:tentative="1">
      <w:start w:val="1"/>
      <w:numFmt w:val="lowerRoman"/>
      <w:lvlText w:val="%9."/>
      <w:lvlJc w:val="right"/>
      <w:pPr>
        <w:ind w:left="6840" w:hanging="180"/>
      </w:pPr>
      <w:rPr>
        <w:rFonts w:cs="Times New Roman"/>
      </w:rPr>
    </w:lvl>
  </w:abstractNum>
  <w:abstractNum w:abstractNumId="16">
    <w:nsid w:val="71CC67DA"/>
    <w:multiLevelType w:val="hybridMultilevel"/>
    <w:tmpl w:val="EC22515C"/>
    <w:lvl w:ilvl="0" w:tplc="180CF550">
      <w:start w:val="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E6D6EC6"/>
    <w:multiLevelType w:val="hybridMultilevel"/>
    <w:tmpl w:val="D63EC990"/>
    <w:lvl w:ilvl="0" w:tplc="3F4CAA4A">
      <w:start w:val="1"/>
      <w:numFmt w:val="bullet"/>
      <w:lvlText w:val=""/>
      <w:lvlJc w:val="left"/>
      <w:pPr>
        <w:ind w:left="2138" w:hanging="360"/>
      </w:pPr>
      <w:rPr>
        <w:rFonts w:ascii="Wingdings" w:hAnsi="Wingdings" w:hint="default"/>
      </w:rPr>
    </w:lvl>
    <w:lvl w:ilvl="1" w:tplc="04260019" w:tentative="1">
      <w:start w:val="1"/>
      <w:numFmt w:val="bullet"/>
      <w:lvlText w:val="o"/>
      <w:lvlJc w:val="left"/>
      <w:pPr>
        <w:ind w:left="2858" w:hanging="360"/>
      </w:pPr>
      <w:rPr>
        <w:rFonts w:ascii="Courier New" w:hAnsi="Courier New" w:cs="Courier New" w:hint="default"/>
      </w:rPr>
    </w:lvl>
    <w:lvl w:ilvl="2" w:tplc="0426001B" w:tentative="1">
      <w:start w:val="1"/>
      <w:numFmt w:val="bullet"/>
      <w:lvlText w:val=""/>
      <w:lvlJc w:val="left"/>
      <w:pPr>
        <w:ind w:left="3578" w:hanging="360"/>
      </w:pPr>
      <w:rPr>
        <w:rFonts w:ascii="Wingdings" w:hAnsi="Wingdings" w:hint="default"/>
      </w:rPr>
    </w:lvl>
    <w:lvl w:ilvl="3" w:tplc="0426000F" w:tentative="1">
      <w:start w:val="1"/>
      <w:numFmt w:val="bullet"/>
      <w:lvlText w:val=""/>
      <w:lvlJc w:val="left"/>
      <w:pPr>
        <w:ind w:left="4298" w:hanging="360"/>
      </w:pPr>
      <w:rPr>
        <w:rFonts w:ascii="Symbol" w:hAnsi="Symbol" w:hint="default"/>
      </w:rPr>
    </w:lvl>
    <w:lvl w:ilvl="4" w:tplc="04260019" w:tentative="1">
      <w:start w:val="1"/>
      <w:numFmt w:val="bullet"/>
      <w:lvlText w:val="o"/>
      <w:lvlJc w:val="left"/>
      <w:pPr>
        <w:ind w:left="5018" w:hanging="360"/>
      </w:pPr>
      <w:rPr>
        <w:rFonts w:ascii="Courier New" w:hAnsi="Courier New" w:cs="Courier New" w:hint="default"/>
      </w:rPr>
    </w:lvl>
    <w:lvl w:ilvl="5" w:tplc="0426001B" w:tentative="1">
      <w:start w:val="1"/>
      <w:numFmt w:val="bullet"/>
      <w:lvlText w:val=""/>
      <w:lvlJc w:val="left"/>
      <w:pPr>
        <w:ind w:left="5738" w:hanging="360"/>
      </w:pPr>
      <w:rPr>
        <w:rFonts w:ascii="Wingdings" w:hAnsi="Wingdings" w:hint="default"/>
      </w:rPr>
    </w:lvl>
    <w:lvl w:ilvl="6" w:tplc="0426000F" w:tentative="1">
      <w:start w:val="1"/>
      <w:numFmt w:val="bullet"/>
      <w:lvlText w:val=""/>
      <w:lvlJc w:val="left"/>
      <w:pPr>
        <w:ind w:left="6458" w:hanging="360"/>
      </w:pPr>
      <w:rPr>
        <w:rFonts w:ascii="Symbol" w:hAnsi="Symbol" w:hint="default"/>
      </w:rPr>
    </w:lvl>
    <w:lvl w:ilvl="7" w:tplc="04260019" w:tentative="1">
      <w:start w:val="1"/>
      <w:numFmt w:val="bullet"/>
      <w:lvlText w:val="o"/>
      <w:lvlJc w:val="left"/>
      <w:pPr>
        <w:ind w:left="7178" w:hanging="360"/>
      </w:pPr>
      <w:rPr>
        <w:rFonts w:ascii="Courier New" w:hAnsi="Courier New" w:cs="Courier New" w:hint="default"/>
      </w:rPr>
    </w:lvl>
    <w:lvl w:ilvl="8" w:tplc="0426001B" w:tentative="1">
      <w:start w:val="1"/>
      <w:numFmt w:val="bullet"/>
      <w:lvlText w:val=""/>
      <w:lvlJc w:val="left"/>
      <w:pPr>
        <w:ind w:left="7898"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5"/>
  </w:num>
  <w:num w:numId="6">
    <w:abstractNumId w:val="1"/>
  </w:num>
  <w:num w:numId="7">
    <w:abstractNumId w:val="12"/>
  </w:num>
  <w:num w:numId="8">
    <w:abstractNumId w:val="10"/>
  </w:num>
  <w:num w:numId="9">
    <w:abstractNumId w:val="3"/>
  </w:num>
  <w:num w:numId="10">
    <w:abstractNumId w:val="2"/>
  </w:num>
  <w:num w:numId="11">
    <w:abstractNumId w:val="17"/>
  </w:num>
  <w:num w:numId="12">
    <w:abstractNumId w:val="4"/>
  </w:num>
  <w:num w:numId="13">
    <w:abstractNumId w:val="14"/>
    <w:lvlOverride w:ilvl="0">
      <w:startOverride w:val="1"/>
    </w:lvlOverride>
  </w:num>
  <w:num w:numId="14">
    <w:abstractNumId w:val="5"/>
  </w:num>
  <w:num w:numId="15">
    <w:abstractNumId w:val="7"/>
  </w:num>
  <w:num w:numId="16">
    <w:abstractNumId w:val="13"/>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05C0"/>
    <w:rsid w:val="000042D5"/>
    <w:rsid w:val="00034343"/>
    <w:rsid w:val="000A0965"/>
    <w:rsid w:val="000E2009"/>
    <w:rsid w:val="000F74A5"/>
    <w:rsid w:val="0011497A"/>
    <w:rsid w:val="0018429D"/>
    <w:rsid w:val="001849F4"/>
    <w:rsid w:val="001B57EB"/>
    <w:rsid w:val="001C116B"/>
    <w:rsid w:val="00215898"/>
    <w:rsid w:val="00250470"/>
    <w:rsid w:val="002C0286"/>
    <w:rsid w:val="002C11D7"/>
    <w:rsid w:val="002E731F"/>
    <w:rsid w:val="0030068B"/>
    <w:rsid w:val="00320170"/>
    <w:rsid w:val="00323357"/>
    <w:rsid w:val="00346216"/>
    <w:rsid w:val="00367698"/>
    <w:rsid w:val="003E6447"/>
    <w:rsid w:val="003F0A29"/>
    <w:rsid w:val="003F45FC"/>
    <w:rsid w:val="004067B7"/>
    <w:rsid w:val="004438B8"/>
    <w:rsid w:val="00455A96"/>
    <w:rsid w:val="00460CCF"/>
    <w:rsid w:val="004705C0"/>
    <w:rsid w:val="004B2E22"/>
    <w:rsid w:val="004B7C3A"/>
    <w:rsid w:val="004D72BF"/>
    <w:rsid w:val="004F1DF0"/>
    <w:rsid w:val="00527B5D"/>
    <w:rsid w:val="00530D3D"/>
    <w:rsid w:val="005511FD"/>
    <w:rsid w:val="0057540E"/>
    <w:rsid w:val="005B515E"/>
    <w:rsid w:val="006A04EC"/>
    <w:rsid w:val="00763AF7"/>
    <w:rsid w:val="00764579"/>
    <w:rsid w:val="00796E51"/>
    <w:rsid w:val="007B02AC"/>
    <w:rsid w:val="0085686E"/>
    <w:rsid w:val="0086661C"/>
    <w:rsid w:val="008A0EAD"/>
    <w:rsid w:val="00901957"/>
    <w:rsid w:val="00981F00"/>
    <w:rsid w:val="009A3F0A"/>
    <w:rsid w:val="009E0112"/>
    <w:rsid w:val="00A30FD3"/>
    <w:rsid w:val="00A834FF"/>
    <w:rsid w:val="00A87D7D"/>
    <w:rsid w:val="00AA4557"/>
    <w:rsid w:val="00B3013A"/>
    <w:rsid w:val="00B36CE5"/>
    <w:rsid w:val="00B549B6"/>
    <w:rsid w:val="00B641B4"/>
    <w:rsid w:val="00BB1803"/>
    <w:rsid w:val="00BE0C28"/>
    <w:rsid w:val="00C02773"/>
    <w:rsid w:val="00C466D8"/>
    <w:rsid w:val="00C522C1"/>
    <w:rsid w:val="00CA7625"/>
    <w:rsid w:val="00CD2195"/>
    <w:rsid w:val="00D042CC"/>
    <w:rsid w:val="00D27801"/>
    <w:rsid w:val="00D81BEF"/>
    <w:rsid w:val="00DE3728"/>
    <w:rsid w:val="00DF27EA"/>
    <w:rsid w:val="00E16BD0"/>
    <w:rsid w:val="00E31E44"/>
    <w:rsid w:val="00E57993"/>
    <w:rsid w:val="00EA364D"/>
    <w:rsid w:val="00EE0F5F"/>
    <w:rsid w:val="00EE7F70"/>
    <w:rsid w:val="00F01CFA"/>
    <w:rsid w:val="00F03375"/>
    <w:rsid w:val="00F2666A"/>
    <w:rsid w:val="00F40E09"/>
    <w:rsid w:val="00F90A7E"/>
    <w:rsid w:val="00FD492B"/>
    <w:rsid w:val="00FE07EF"/>
    <w:rsid w:val="00FF6708"/>
    <w:rsid w:val="00FF7B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C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B3013A"/>
    <w:pPr>
      <w:keepNext/>
      <w:widowControl/>
      <w:autoSpaceDE/>
      <w:autoSpaceDN/>
      <w:adjustRightInd/>
      <w:outlineLvl w:val="0"/>
    </w:pPr>
    <w:rPr>
      <w:b/>
      <w:bCs/>
      <w:sz w:val="24"/>
      <w:szCs w:val="24"/>
      <w:lang w:eastAsia="en-US"/>
    </w:rPr>
  </w:style>
  <w:style w:type="paragraph" w:styleId="Heading2">
    <w:name w:val="heading 2"/>
    <w:basedOn w:val="Normal"/>
    <w:next w:val="Normal"/>
    <w:link w:val="Heading2Char"/>
    <w:uiPriority w:val="9"/>
    <w:unhideWhenUsed/>
    <w:qFormat/>
    <w:rsid w:val="003E64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64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64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05C0"/>
    <w:rPr>
      <w:rFonts w:cs="Times New Roman"/>
      <w:color w:val="0000FF"/>
      <w:u w:val="single"/>
    </w:rPr>
  </w:style>
  <w:style w:type="paragraph" w:styleId="BodyTextIndent">
    <w:name w:val="Body Text Indent"/>
    <w:basedOn w:val="Normal"/>
    <w:link w:val="BodyTextIndentChar"/>
    <w:uiPriority w:val="99"/>
    <w:rsid w:val="004705C0"/>
    <w:pPr>
      <w:widowControl/>
      <w:autoSpaceDE/>
      <w:autoSpaceDN/>
      <w:adjustRightInd/>
      <w:ind w:left="5760"/>
    </w:pPr>
    <w:rPr>
      <w:sz w:val="24"/>
    </w:rPr>
  </w:style>
  <w:style w:type="character" w:customStyle="1" w:styleId="BodyTextIndentChar">
    <w:name w:val="Body Text Indent Char"/>
    <w:basedOn w:val="DefaultParagraphFont"/>
    <w:link w:val="BodyTextIndent"/>
    <w:uiPriority w:val="99"/>
    <w:rsid w:val="004705C0"/>
    <w:rPr>
      <w:rFonts w:ascii="Times New Roman" w:eastAsia="Times New Roman" w:hAnsi="Times New Roman" w:cs="Times New Roman"/>
      <w:sz w:val="24"/>
      <w:szCs w:val="20"/>
      <w:lang w:eastAsia="lv-LV"/>
    </w:rPr>
  </w:style>
  <w:style w:type="paragraph" w:styleId="Header">
    <w:name w:val="header"/>
    <w:basedOn w:val="Normal"/>
    <w:link w:val="HeaderChar"/>
    <w:uiPriority w:val="99"/>
    <w:rsid w:val="004705C0"/>
    <w:pPr>
      <w:tabs>
        <w:tab w:val="center" w:pos="4153"/>
        <w:tab w:val="right" w:pos="8306"/>
      </w:tabs>
    </w:pPr>
  </w:style>
  <w:style w:type="character" w:customStyle="1" w:styleId="HeaderChar">
    <w:name w:val="Header Char"/>
    <w:basedOn w:val="DefaultParagraphFont"/>
    <w:link w:val="Header"/>
    <w:uiPriority w:val="99"/>
    <w:rsid w:val="004705C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4705C0"/>
    <w:pPr>
      <w:tabs>
        <w:tab w:val="center" w:pos="4153"/>
        <w:tab w:val="right" w:pos="8306"/>
      </w:tabs>
    </w:pPr>
  </w:style>
  <w:style w:type="character" w:customStyle="1" w:styleId="FooterChar">
    <w:name w:val="Footer Char"/>
    <w:basedOn w:val="DefaultParagraphFont"/>
    <w:link w:val="Footer"/>
    <w:uiPriority w:val="99"/>
    <w:rsid w:val="004705C0"/>
    <w:rPr>
      <w:rFonts w:ascii="Times New Roman" w:eastAsia="Times New Roman" w:hAnsi="Times New Roman" w:cs="Times New Roman"/>
      <w:sz w:val="20"/>
      <w:szCs w:val="20"/>
      <w:lang w:eastAsia="lv-LV"/>
    </w:rPr>
  </w:style>
  <w:style w:type="character" w:styleId="PageNumber">
    <w:name w:val="page number"/>
    <w:basedOn w:val="DefaultParagraphFont"/>
    <w:uiPriority w:val="99"/>
    <w:rsid w:val="004705C0"/>
    <w:rPr>
      <w:rFonts w:cs="Times New Roman"/>
    </w:rPr>
  </w:style>
  <w:style w:type="paragraph" w:styleId="ListParagraph">
    <w:name w:val="List Paragraph"/>
    <w:basedOn w:val="Normal"/>
    <w:uiPriority w:val="99"/>
    <w:qFormat/>
    <w:rsid w:val="004705C0"/>
    <w:pPr>
      <w:widowControl/>
      <w:autoSpaceDE/>
      <w:autoSpaceDN/>
      <w:adjustRightInd/>
      <w:ind w:left="720"/>
    </w:pPr>
    <w:rPr>
      <w:rFonts w:ascii="Calibri" w:eastAsia="Calibri" w:hAnsi="Calibri"/>
      <w:sz w:val="22"/>
      <w:szCs w:val="22"/>
    </w:rPr>
  </w:style>
  <w:style w:type="paragraph" w:styleId="FootnoteText">
    <w:name w:val="footnote text"/>
    <w:basedOn w:val="Normal"/>
    <w:link w:val="FootnoteTextChar"/>
    <w:uiPriority w:val="99"/>
    <w:semiHidden/>
    <w:rsid w:val="004705C0"/>
  </w:style>
  <w:style w:type="character" w:customStyle="1" w:styleId="FootnoteTextChar">
    <w:name w:val="Footnote Text Char"/>
    <w:basedOn w:val="DefaultParagraphFont"/>
    <w:link w:val="FootnoteText"/>
    <w:uiPriority w:val="99"/>
    <w:semiHidden/>
    <w:rsid w:val="004705C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4705C0"/>
    <w:rPr>
      <w:rFonts w:cs="Times New Roman"/>
      <w:vertAlign w:val="superscript"/>
    </w:rPr>
  </w:style>
  <w:style w:type="paragraph" w:styleId="CommentText">
    <w:name w:val="annotation text"/>
    <w:basedOn w:val="Normal"/>
    <w:link w:val="CommentTextChar"/>
    <w:uiPriority w:val="99"/>
    <w:semiHidden/>
    <w:rsid w:val="004705C0"/>
  </w:style>
  <w:style w:type="character" w:customStyle="1" w:styleId="CommentTextChar">
    <w:name w:val="Comment Text Char"/>
    <w:basedOn w:val="DefaultParagraphFont"/>
    <w:link w:val="CommentText"/>
    <w:uiPriority w:val="99"/>
    <w:semiHidden/>
    <w:rsid w:val="004705C0"/>
    <w:rPr>
      <w:rFonts w:ascii="Times New Roman" w:eastAsia="Times New Roman" w:hAnsi="Times New Roman" w:cs="Times New Roman"/>
      <w:sz w:val="20"/>
      <w:szCs w:val="20"/>
      <w:lang w:eastAsia="lv-LV"/>
    </w:rPr>
  </w:style>
  <w:style w:type="paragraph" w:customStyle="1" w:styleId="naisf">
    <w:name w:val="naisf"/>
    <w:basedOn w:val="Normal"/>
    <w:rsid w:val="004705C0"/>
    <w:pPr>
      <w:widowControl/>
      <w:autoSpaceDE/>
      <w:autoSpaceDN/>
      <w:adjustRightInd/>
      <w:spacing w:before="75" w:after="75"/>
      <w:ind w:firstLine="375"/>
      <w:jc w:val="both"/>
    </w:pPr>
    <w:rPr>
      <w:sz w:val="24"/>
      <w:szCs w:val="24"/>
    </w:rPr>
  </w:style>
  <w:style w:type="paragraph" w:customStyle="1" w:styleId="naispant">
    <w:name w:val="naispant"/>
    <w:basedOn w:val="Normal"/>
    <w:uiPriority w:val="99"/>
    <w:rsid w:val="004705C0"/>
    <w:pPr>
      <w:widowControl/>
      <w:autoSpaceDE/>
      <w:autoSpaceDN/>
      <w:adjustRightInd/>
      <w:spacing w:before="300" w:after="150"/>
      <w:ind w:left="375" w:firstLine="375"/>
      <w:jc w:val="both"/>
    </w:pPr>
    <w:rPr>
      <w:b/>
      <w:bCs/>
      <w:sz w:val="24"/>
      <w:szCs w:val="24"/>
    </w:rPr>
  </w:style>
  <w:style w:type="paragraph" w:customStyle="1" w:styleId="naisc">
    <w:name w:val="naisc"/>
    <w:basedOn w:val="Normal"/>
    <w:uiPriority w:val="99"/>
    <w:rsid w:val="004705C0"/>
    <w:pPr>
      <w:widowControl/>
      <w:autoSpaceDE/>
      <w:autoSpaceDN/>
      <w:adjustRightInd/>
      <w:spacing w:before="100" w:after="100"/>
      <w:jc w:val="center"/>
    </w:pPr>
    <w:rPr>
      <w:sz w:val="26"/>
      <w:lang w:val="en-GB"/>
    </w:rPr>
  </w:style>
  <w:style w:type="character" w:customStyle="1" w:styleId="Heading1Char">
    <w:name w:val="Heading 1 Char"/>
    <w:basedOn w:val="DefaultParagraphFont"/>
    <w:link w:val="Heading1"/>
    <w:rsid w:val="00B3013A"/>
    <w:rPr>
      <w:rFonts w:ascii="Times New Roman" w:eastAsia="Times New Roman" w:hAnsi="Times New Roman" w:cs="Times New Roman"/>
      <w:b/>
      <w:bCs/>
      <w:sz w:val="24"/>
      <w:szCs w:val="24"/>
    </w:rPr>
  </w:style>
  <w:style w:type="paragraph" w:styleId="BodyText2">
    <w:name w:val="Body Text 2"/>
    <w:basedOn w:val="Normal"/>
    <w:link w:val="BodyText2Char"/>
    <w:rsid w:val="00B3013A"/>
    <w:pPr>
      <w:widowControl/>
      <w:autoSpaceDE/>
      <w:autoSpaceDN/>
      <w:adjustRightInd/>
      <w:spacing w:after="120" w:line="480" w:lineRule="auto"/>
    </w:pPr>
    <w:rPr>
      <w:sz w:val="24"/>
      <w:szCs w:val="24"/>
      <w:lang w:val="en-GB" w:eastAsia="en-US"/>
    </w:rPr>
  </w:style>
  <w:style w:type="character" w:customStyle="1" w:styleId="BodyText2Char">
    <w:name w:val="Body Text 2 Char"/>
    <w:basedOn w:val="DefaultParagraphFont"/>
    <w:link w:val="BodyText2"/>
    <w:rsid w:val="00B3013A"/>
    <w:rPr>
      <w:rFonts w:ascii="Times New Roman" w:eastAsia="Times New Roman" w:hAnsi="Times New Roman" w:cs="Times New Roman"/>
      <w:sz w:val="24"/>
      <w:szCs w:val="24"/>
      <w:lang w:val="en-GB"/>
    </w:rPr>
  </w:style>
  <w:style w:type="paragraph" w:customStyle="1" w:styleId="Considrant">
    <w:name w:val="Considérant"/>
    <w:basedOn w:val="Normal"/>
    <w:rsid w:val="001C116B"/>
    <w:pPr>
      <w:widowControl/>
      <w:numPr>
        <w:numId w:val="13"/>
      </w:numPr>
      <w:autoSpaceDE/>
      <w:autoSpaceDN/>
      <w:adjustRightInd/>
      <w:spacing w:before="120" w:after="120"/>
      <w:jc w:val="both"/>
    </w:pPr>
    <w:rPr>
      <w:rFonts w:eastAsia="Calibri"/>
      <w:sz w:val="24"/>
      <w:szCs w:val="24"/>
    </w:rPr>
  </w:style>
  <w:style w:type="paragraph" w:styleId="BalloonText">
    <w:name w:val="Balloon Text"/>
    <w:basedOn w:val="Normal"/>
    <w:link w:val="BalloonTextChar"/>
    <w:uiPriority w:val="99"/>
    <w:semiHidden/>
    <w:unhideWhenUsed/>
    <w:rsid w:val="00B36CE5"/>
    <w:rPr>
      <w:rFonts w:ascii="Tahoma" w:hAnsi="Tahoma" w:cs="Tahoma"/>
      <w:sz w:val="16"/>
      <w:szCs w:val="16"/>
    </w:rPr>
  </w:style>
  <w:style w:type="character" w:customStyle="1" w:styleId="BalloonTextChar">
    <w:name w:val="Balloon Text Char"/>
    <w:basedOn w:val="DefaultParagraphFont"/>
    <w:link w:val="BalloonText"/>
    <w:uiPriority w:val="99"/>
    <w:semiHidden/>
    <w:rsid w:val="00B36CE5"/>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3E6447"/>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3E6447"/>
    <w:rPr>
      <w:rFonts w:asciiTheme="majorHAnsi" w:eastAsiaTheme="majorEastAsia" w:hAnsiTheme="majorHAnsi" w:cstheme="majorBidi"/>
      <w:b/>
      <w:bCs/>
      <w:color w:val="4F81BD" w:themeColor="accent1"/>
      <w:sz w:val="20"/>
      <w:szCs w:val="20"/>
      <w:lang w:eastAsia="lv-LV"/>
    </w:rPr>
  </w:style>
  <w:style w:type="character" w:customStyle="1" w:styleId="Heading4Char">
    <w:name w:val="Heading 4 Char"/>
    <w:basedOn w:val="DefaultParagraphFont"/>
    <w:link w:val="Heading4"/>
    <w:uiPriority w:val="9"/>
    <w:rsid w:val="003E6447"/>
    <w:rPr>
      <w:rFonts w:asciiTheme="majorHAnsi" w:eastAsiaTheme="majorEastAsia" w:hAnsiTheme="majorHAnsi" w:cstheme="majorBidi"/>
      <w:b/>
      <w:bCs/>
      <w:i/>
      <w:iCs/>
      <w:color w:val="4F81BD" w:themeColor="accent1"/>
      <w:sz w:val="20"/>
      <w:szCs w:val="20"/>
      <w:lang w:eastAsia="lv-LV"/>
    </w:rPr>
  </w:style>
  <w:style w:type="paragraph" w:customStyle="1" w:styleId="RakstzRakstzCharCharCharCharCharCharCharCharCharCharCharCharCharCharCharChar">
    <w:name w:val="Rakstz. Rakstz. Char Char Char Char Char Char Char Char Char Char Char Char Char Char Char Char"/>
    <w:basedOn w:val="Normal"/>
    <w:rsid w:val="00A834FF"/>
    <w:pPr>
      <w:widowControl/>
      <w:autoSpaceDE/>
      <w:autoSpaceDN/>
      <w:adjustRightInd/>
      <w:spacing w:after="160" w:line="240" w:lineRule="exact"/>
    </w:pPr>
    <w:rPr>
      <w:rFonts w:ascii="Tahoma" w:hAnsi="Tahoma"/>
      <w:lang w:val="en-US" w:eastAsia="en-US"/>
    </w:rPr>
  </w:style>
  <w:style w:type="paragraph" w:customStyle="1" w:styleId="story">
    <w:name w:val="story"/>
    <w:basedOn w:val="Normal"/>
    <w:rsid w:val="002E731F"/>
    <w:pPr>
      <w:widowControl/>
      <w:shd w:val="clear" w:color="auto" w:fill="FFFFFF"/>
      <w:autoSpaceDE/>
      <w:autoSpaceDN/>
      <w:adjustRightInd/>
      <w:spacing w:before="90" w:after="90" w:line="384" w:lineRule="auto"/>
      <w:ind w:left="150" w:right="225" w:firstLine="225"/>
      <w:jc w:val="both"/>
    </w:pPr>
    <w:rPr>
      <w:rFonts w:ascii="Verdana" w:hAnsi="Verdana"/>
      <w:color w:val="000080"/>
      <w:sz w:val="18"/>
      <w:szCs w:val="18"/>
    </w:rPr>
  </w:style>
  <w:style w:type="paragraph" w:customStyle="1" w:styleId="Default">
    <w:name w:val="Default"/>
    <w:rsid w:val="00B549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s.Eglitis@e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B0CF-5D32-4DFB-B952-B95B896D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1246</Words>
  <Characters>9102</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Informatīvais ziņojums "Par kompetenču sadalījumu, ieviešot cigarešu samazināta degšanas potenciāla prasības"</vt:lpstr>
    </vt:vector>
  </TitlesOfParts>
  <Company>LR Ekonomikas ministrija</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"Parāda atgūšanas likums"</dc:title>
  <dc:subject>Informatīvais ziņojums</dc:subject>
  <dc:creator>Intars Eglītis</dc:creator>
  <dc:description>Intars.Eglitis@em.gov.lv; 67013236</dc:description>
  <cp:lastModifiedBy>LREM</cp:lastModifiedBy>
  <cp:revision>5</cp:revision>
  <cp:lastPrinted>2011-09-12T06:41:00Z</cp:lastPrinted>
  <dcterms:created xsi:type="dcterms:W3CDTF">2011-09-11T18:26:00Z</dcterms:created>
  <dcterms:modified xsi:type="dcterms:W3CDTF">2011-09-12T06:45:00Z</dcterms:modified>
</cp:coreProperties>
</file>